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5B6472"/>
          <w:sz w:val="18"/>
        </w:rPr>
        <w:t>Lighthouse Financial Services Company</w:t>
      </w:r>
    </w:p>
    <w:p>
      <w:r>
        <w:rPr>
          <w:b/>
          <w:color w:val="14352A"/>
          <w:sz w:val="34"/>
        </w:rPr>
        <w:t>Program Budget</w:t>
      </w:r>
    </w:p>
    <w:p>
      <w:r>
        <w:rPr>
          <w:color w:val="1E5945"/>
          <w:sz w:val="18"/>
        </w:rPr>
        <w:t>Financial Companion to the Program Charter</w:t>
      </w:r>
    </w:p>
    <w:p/>
    <w:p>
      <w:pPr>
        <w:spacing w:after="120"/>
      </w:pPr>
      <w:r>
        <w:rPr>
          <w:b/>
          <w:i w:val="0"/>
          <w:sz w:val="20"/>
        </w:rPr>
        <w:t>Lighthouse Financial Services Company</w:t>
      </w:r>
      <w:r>
        <w:rPr>
          <w:b w:val="0"/>
          <w:i w:val="0"/>
          <w:sz w:val="20"/>
        </w:rPr>
        <w:t xml:space="preserve"> — The full budget derivation behind the </w:t>
      </w:r>
      <w:r>
        <w:rPr>
          <w:b w:val="0"/>
          <w:i w:val="0"/>
          <w:sz w:val="20"/>
        </w:rPr>
        <w:t>Program Charter</w:t>
      </w:r>
      <w:r>
        <w:rPr>
          <w:b w:val="0"/>
          <w:i w:val="0"/>
          <w:sz w:val="20"/>
        </w:rPr>
        <w:t xml:space="preserve">'s $27,904,000 authorization ceiling: labor by team, non-labor by category, the tranche release schedule tied to the gates, contingency draws and remaining reserve. Authorized at the 11 June 2026 Gate 1 second convening; spend figures current as at </w:t>
      </w:r>
      <w:r>
        <w:rPr>
          <w:b/>
          <w:i w:val="0"/>
          <w:sz w:val="20"/>
        </w:rPr>
        <w:t>16 October 2026</w:t>
      </w:r>
      <w:r>
        <w:rPr>
          <w:b w:val="0"/>
          <w:i w:val="0"/>
          <w:sz w:val="20"/>
        </w:rPr>
        <w:t>.</w:t>
      </w:r>
    </w:p>
    <w:p>
      <w:pPr>
        <w:spacing w:after="120"/>
      </w:pPr>
      <w:r>
        <w:rPr>
          <w:b/>
          <w:i w:val="0"/>
          <w:sz w:val="20"/>
        </w:rPr>
        <w:t>Contents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Purpose &amp; How to Read This Budget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Budget Summary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Labor Budget by Team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Non-Labor Budget by Category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Tranche Release Schedule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Contingency Reserve &amp; Draws to Date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Spend Position at the Status Date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Why No Full-Program Earned Value Baseline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Budget Governance &amp; Change Control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Financial Controls &amp; Reporting Cadence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Document Control &amp; Related Documents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1. Purpose &amp; How to Read This Budget</w:t>
      </w:r>
    </w:p>
    <w:p>
      <w:pPr>
        <w:spacing w:after="120"/>
      </w:pPr>
      <w:r>
        <w:rPr>
          <w:b w:val="0"/>
          <w:i w:val="0"/>
          <w:sz w:val="20"/>
        </w:rPr>
        <w:t>This document derives the $27,904,000 ceiling the Program Charter authorizes, and reports where the program actually stands against it at the status date. It is not a program-level cost/schedule performance report — §8 explains why this program deliberately does not publish one — it is a budget derivation and a tranche ledger. Every figure below is computed from the same source the Gate Decision Framework, the Gate Conditions Register and the Gate 2 Readiness Assessment draw from, so none of these documents can drift out of agreement with each other on a dollar figure.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2. Budget Summary</w:t>
      </w:r>
    </w:p>
    <w:p>
      <w:pPr>
        <w:spacing w:after="120"/>
      </w:pPr>
      <w:r>
        <w:rPr>
          <w:b w:val="0"/>
          <w:i w:val="0"/>
          <w:sz w:val="20"/>
        </w:rPr>
        <w:t>$17,980,000</w:t>
      </w:r>
    </w:p>
    <w:p>
      <w:pPr>
        <w:spacing w:after="120"/>
      </w:pPr>
      <w:r>
        <w:rPr>
          <w:b w:val="0"/>
          <w:i w:val="0"/>
          <w:sz w:val="20"/>
        </w:rPr>
        <w:t>Labor (90 people, 146,440 hrs)</w:t>
      </w:r>
    </w:p>
    <w:p>
      <w:pPr>
        <w:spacing w:after="120"/>
      </w:pPr>
      <w:r>
        <w:rPr>
          <w:b w:val="0"/>
          <w:i w:val="0"/>
          <w:sz w:val="20"/>
        </w:rPr>
        <w:t>$7,620,000</w:t>
      </w:r>
    </w:p>
    <w:p>
      <w:pPr>
        <w:spacing w:after="120"/>
      </w:pPr>
      <w:r>
        <w:rPr>
          <w:b w:val="0"/>
          <w:i w:val="0"/>
          <w:sz w:val="20"/>
        </w:rPr>
        <w:t>Non-labor</w:t>
      </w:r>
    </w:p>
    <w:p>
      <w:pPr>
        <w:spacing w:after="120"/>
      </w:pPr>
      <w:r>
        <w:rPr>
          <w:b w:val="0"/>
          <w:i w:val="0"/>
          <w:sz w:val="20"/>
        </w:rPr>
        <w:t>$25,600,000</w:t>
      </w:r>
    </w:p>
    <w:p>
      <w:pPr>
        <w:spacing w:after="120"/>
      </w:pPr>
      <w:r>
        <w:rPr>
          <w:b w:val="0"/>
          <w:i w:val="0"/>
          <w:sz w:val="20"/>
        </w:rPr>
        <w:t>Base</w:t>
      </w:r>
    </w:p>
    <w:p>
      <w:pPr>
        <w:spacing w:after="120"/>
      </w:pPr>
      <w:r>
        <w:rPr>
          <w:b w:val="0"/>
          <w:i w:val="0"/>
          <w:sz w:val="20"/>
        </w:rPr>
        <w:t>$2,304,000</w:t>
      </w:r>
    </w:p>
    <w:p>
      <w:pPr>
        <w:spacing w:after="120"/>
      </w:pPr>
      <w:r>
        <w:rPr>
          <w:b w:val="0"/>
          <w:i w:val="0"/>
          <w:sz w:val="20"/>
        </w:rPr>
        <w:t>Gate contingency (9.0%)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Line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Amount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Derivation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Labor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$17,980,000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Sum of 15 team envelopes, §3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Non-labor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$7,620,000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Sum of 8 categories, §4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Base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$25,600,000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Labor + non-labor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contingency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$2,304,000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9.0% of base, rounded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Total authorized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$27,904,000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Base + contingency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3. Labor Budget by Team</w:t>
      </w:r>
    </w:p>
    <w:p>
      <w:pPr>
        <w:spacing w:after="120"/>
      </w:pPr>
      <w:r>
        <w:rPr>
          <w:b w:val="0"/>
          <w:i w:val="0"/>
          <w:sz w:val="20"/>
        </w:rPr>
        <w:t>Fifteen teams, ramping by stage across the program's life. Every team's rows in the underlying 90-row roster reproduce this envelope exactly in both hours and cost; per-person cost equals hours times rate, and allocation percentage is derived from hours over each person's engagement window rather than stated independently — the roster solver was rebuilt once after an early version satisfied the arithmetic by pegging a PMO Lead at 5% and a scheduler at 100%, which is exact without being defensible.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Team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Headcount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Hours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Blended rate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Cost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Actuarial - Pricing &amp; Product Development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7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13,600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$168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$2,284,800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IT - Annuity Administration Platform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22,400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$102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$2,284,800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Product Development PMO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6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18,400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$118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$2,171,200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Product Management &amp; Design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7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14,800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$126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$1,864,800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Legal &amp; Compliance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6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7,400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$165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$1,221,000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Investments - ALM &amp; Hedging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6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6,800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$172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$1,169,600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IT - Illustration &amp; Quoting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6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11,600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$98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$1,136,800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Actuarial - Valuation &amp; Financial Reporting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6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7,200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$155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$1,116,000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Distribution &amp; Wholesaling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6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7,600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$122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$927,200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Operations - New Business &amp; Policyholder Services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7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10,200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$84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$856,800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Regulatory Filing &amp; Contract Forms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5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8,200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$104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$852,800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Data, Reporting &amp; Analytics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4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6,400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$96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$614,400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Finance &amp; Treasury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4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5,200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$112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$582,400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Marketing &amp; Advisor Enablement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4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5,400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$95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$513,000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Review Board (oversight only)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6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1,240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$310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$384,400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Total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90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146,440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$17,980,000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The Gate Review Board's own six seats are the smallest envelope and the highest blended rate — oversight time from the program's most senior people, costed like any other team rather than treated as free. IT — Annuity Administration Platform is the single largest team by headcount, consistent with extending rather than replacing the incumbent platform being the highest-effort line in the build (Decision </w:t>
      </w:r>
      <w:r>
        <w:rPr>
          <w:b/>
          <w:i w:val="0"/>
          <w:sz w:val="20"/>
        </w:rPr>
        <w:t>D-07</w:t>
      </w:r>
      <w:r>
        <w:rPr>
          <w:b w:val="0"/>
          <w:i w:val="0"/>
          <w:sz w:val="20"/>
        </w:rPr>
        <w:t>).</w:t>
      </w:r>
    </w:p>
    <w:p>
      <w:pPr>
        <w:spacing w:before="200" w:after="80"/>
      </w:pPr>
      <w:r>
        <w:rPr>
          <w:b/>
          <w:i w:val="0"/>
          <w:color w:val="14352A"/>
          <w:sz w:val="24"/>
        </w:rPr>
        <w:t>Where the labor total comes from — and where it deliberately does not</w:t>
      </w:r>
    </w:p>
    <w:p>
      <w:pPr>
        <w:spacing w:after="120"/>
      </w:pPr>
      <w:r>
        <w:rPr>
          <w:b w:val="0"/>
          <w:i w:val="0"/>
          <w:sz w:val="20"/>
        </w:rPr>
        <w:t xml:space="preserve">The $17,980,000 line was built upward from the roster, never downward from a target: each of the 90 people carries stated hours over a stated engagement window at a stated rate, team envelopes are the sums of their people, and this table is the sum of its envelopes. The direction matters because a labor budget derived top-down — a total allocated across teams to make the plan close — produces exactly the arithmetic this table shows while committing nobody to anything. Cost is </w:t>
      </w:r>
      <w:r>
        <w:rPr>
          <w:b w:val="0"/>
          <w:i/>
          <w:sz w:val="20"/>
        </w:rPr>
        <w:t>distributed, never recomputed</w:t>
      </w:r>
      <w:r>
        <w:rPr>
          <w:b w:val="0"/>
          <w:i w:val="0"/>
          <w:sz w:val="20"/>
        </w:rPr>
        <w:t>: rounding a blended rate and multiplying it back across a roster drifts by thousands, so displayed rates are derived from cost over hours, not the reverse.</w:t>
      </w:r>
    </w:p>
    <w:p>
      <w:pPr>
        <w:spacing w:before="200" w:after="80"/>
      </w:pPr>
      <w:r>
        <w:rPr>
          <w:b/>
          <w:i w:val="0"/>
          <w:color w:val="14352A"/>
          <w:sz w:val="24"/>
        </w:rPr>
        <w:t>Reading the blended rates as evidence</w:t>
      </w:r>
    </w:p>
    <w:p>
      <w:pPr>
        <w:spacing w:after="120"/>
      </w:pPr>
      <w:r>
        <w:rPr>
          <w:b w:val="0"/>
          <w:i w:val="0"/>
          <w:sz w:val="20"/>
        </w:rPr>
        <w:t>The rate column is the table's built-in plausibility check, and it should look uneven. Actuarial — Pricing carries one of the highest blended rates on modest hours — credentialed specialists engaged deep rather than wide; the platform team carries the most hours at a mid-table rate — sustained configuration effort, not scarce expertise. A labor budget whose blended rates converge toward a comfortable average is usually one that was allocated rather than built, because real teams do not cost the same. The one deliberate outlier is the Board itself: six seats, the smallest hour envelope, the highest rate — priced so that governance time appears in the cost of the program that consumes it.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4. Non-Labor Budget by Category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Category</w:t>
            </w:r>
          </w:p>
        </w:tc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Amount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Annuity admin platform configuration &amp; licensing (Cordelane SOW)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$2,850,000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Illustration &amp; quoting engine build (Brightpath)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$940,000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External actuarial peer review &amp; independent pricing validation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$560,000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Hedging program setup - derivatives infrastructure, ISDA onboarding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$480,000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Regulatory filing fees (IIPRC + non-Compact states) &amp; outside insurance counsel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$415,000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Distribution enablement, wholesaler training &amp; launch marketing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$1,540,000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Reinsurance structuring &amp; broker fees (Halverson Re)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$390,000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Infrastructure, environments &amp; data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$445,000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Non-labor subtotal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$7,620,000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Distribution enablement, wholesaler training and launch marketing is the largest single non-labor category — larger than the platform configuration line — reflecting that this program's hardest problem was never technical: it is getting three IMO partners to commit volume in writing, the same gap </w:t>
      </w:r>
      <w:r>
        <w:rPr>
          <w:b/>
          <w:i w:val="0"/>
          <w:sz w:val="20"/>
        </w:rPr>
        <w:t>GC-04</w:t>
      </w:r>
      <w:r>
        <w:rPr>
          <w:b w:val="0"/>
          <w:i w:val="0"/>
          <w:sz w:val="20"/>
        </w:rPr>
        <w:t>'s closure surfaced rather than resolved.</w:t>
      </w:r>
    </w:p>
    <w:p>
      <w:pPr>
        <w:spacing w:before="200" w:after="80"/>
      </w:pPr>
      <w:r>
        <w:rPr>
          <w:b/>
          <w:i w:val="0"/>
          <w:color w:val="14352A"/>
          <w:sz w:val="24"/>
        </w:rPr>
        <w:t>The two build vendors are structured differently on purpose</w:t>
      </w:r>
    </w:p>
    <w:p>
      <w:pPr>
        <w:spacing w:after="120"/>
      </w:pPr>
      <w:r>
        <w:rPr>
          <w:b w:val="0"/>
          <w:i w:val="0"/>
          <w:sz w:val="20"/>
        </w:rPr>
        <w:t xml:space="preserve">Cordelane (platform configuration and licensing) and Brightpath (illustration and quoting engine) are not two instances of one arrangement. The Cordelane line is governed by a gated SOW whose work packages release with the program's own tranches — the </w:t>
      </w:r>
      <w:r>
        <w:rPr>
          <w:b w:val="0"/>
          <w:i w:val="0"/>
          <w:sz w:val="20"/>
        </w:rPr>
        <w:t>SOW</w:t>
      </w:r>
      <w:r>
        <w:rPr>
          <w:b w:val="0"/>
          <w:i w:val="0"/>
          <w:sz w:val="20"/>
        </w:rPr>
        <w:t xml:space="preserve"> mirrors the stage-gate structure so the vendor's authorization can never outrun the Board's. The Brightpath engine is the smaller line but carries the sharper risk concentration: it feeds L2 illustration validation, where defects are compliance matters rather than build matters, and its earlier capability limitation (</w:t>
      </w:r>
      <w:r>
        <w:rPr>
          <w:b/>
          <w:i w:val="0"/>
          <w:sz w:val="20"/>
        </w:rPr>
        <w:t>I-02</w:t>
      </w:r>
      <w:r>
        <w:rPr>
          <w:b w:val="0"/>
          <w:i w:val="0"/>
          <w:sz w:val="20"/>
        </w:rPr>
        <w:t xml:space="preserve">) is what </w:t>
      </w:r>
      <w:r>
        <w:rPr>
          <w:b/>
          <w:i w:val="0"/>
          <w:sz w:val="20"/>
        </w:rPr>
        <w:t>GC-01</w:t>
      </w:r>
      <w:r>
        <w:rPr>
          <w:b w:val="0"/>
          <w:i w:val="0"/>
          <w:sz w:val="20"/>
        </w:rPr>
        <w:t xml:space="preserve"> resolved by cutting launch crediting strategies from five to three — a budget line whose scope was reduced by a gate condition rather than a change order.</w:t>
      </w:r>
    </w:p>
    <w:p>
      <w:pPr>
        <w:spacing w:before="200" w:after="80"/>
      </w:pPr>
      <w:r>
        <w:rPr>
          <w:b/>
          <w:i w:val="0"/>
          <w:color w:val="14352A"/>
          <w:sz w:val="24"/>
        </w:rPr>
        <w:t>What this table does not contain, and why the absences are decisions</w:t>
      </w:r>
    </w:p>
    <w:p>
      <w:pPr>
        <w:spacing w:after="120"/>
      </w:pPr>
      <w:r>
        <w:rPr>
          <w:b w:val="0"/>
          <w:i w:val="0"/>
          <w:sz w:val="20"/>
        </w:rPr>
        <w:t xml:space="preserve">Three lines a reader might expect are absent on purpose. </w:t>
      </w:r>
      <w:r>
        <w:rPr>
          <w:b/>
          <w:i w:val="0"/>
          <w:sz w:val="20"/>
        </w:rPr>
        <w:t>No capital strain</w:t>
      </w:r>
      <w:r>
        <w:rPr>
          <w:b w:val="0"/>
          <w:i w:val="0"/>
          <w:sz w:val="20"/>
        </w:rPr>
        <w:t xml:space="preserve"> — the statutory capital the product consumes is real money on a different clock, covered by the </w:t>
      </w:r>
      <w:r>
        <w:rPr>
          <w:b w:val="0"/>
          <w:i w:val="0"/>
          <w:sz w:val="20"/>
        </w:rPr>
        <w:t>CBA</w:t>
      </w:r>
      <w:r>
        <w:rPr>
          <w:b w:val="0"/>
          <w:i w:val="0"/>
          <w:sz w:val="20"/>
        </w:rPr>
        <w:t xml:space="preserve">, and summing it with program cost would double-count neither and confuse both. </w:t>
      </w:r>
      <w:r>
        <w:rPr>
          <w:b/>
          <w:i w:val="0"/>
          <w:sz w:val="20"/>
        </w:rPr>
        <w:t>No post-launch operating cost</w:t>
      </w:r>
      <w:r>
        <w:rPr>
          <w:b w:val="0"/>
          <w:i w:val="0"/>
          <w:sz w:val="20"/>
        </w:rPr>
        <w:t xml:space="preserve"> — the post-launch window is not a stage and no gate funds it; steady-state cost belongs to the product P&amp;L the CBA models. </w:t>
      </w:r>
      <w:r>
        <w:rPr>
          <w:b/>
          <w:i w:val="0"/>
          <w:sz w:val="20"/>
        </w:rPr>
        <w:t>No management reserve beyond the 9.0% contingency</w:t>
      </w:r>
      <w:r>
        <w:rPr>
          <w:b w:val="0"/>
          <w:i w:val="0"/>
          <w:sz w:val="20"/>
        </w:rPr>
        <w:t xml:space="preserve"> — a second, unminuted buffer is where quiet overruns go to hide, and the design intent is that the only path to more money passes through a gate with minutes.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5. Tranche Release Schedule</w:t>
      </w:r>
    </w:p>
    <w:p>
      <w:pPr>
        <w:spacing w:after="120"/>
      </w:pPr>
      <w:r>
        <w:rPr>
          <w:b w:val="0"/>
          <w:i w:val="0"/>
          <w:sz w:val="20"/>
        </w:rPr>
        <w:t>Base funding of $25,600,000 releases in four tranches, one per gate. No stage's money is available before its own gate votes to release it — this is the mechanism, not a policy statement, behind the Charter's claim that $27,904,000 is a ceiling and not a baseline.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Tranche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For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Amount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Released at</w:t>
            </w:r>
          </w:p>
        </w:tc>
        <w:tc>
          <w:tcPr>
            <w:tcW w:type="dxa" w:w="1930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State at 16 Oct 2026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Stage 1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Business Case &amp; Feasibility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$2,180,000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Released, closed at $2,412,000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Stage 2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Development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$11,640,000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1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Released, $4,538,000 spent (39%)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Stage 3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Testing &amp; Validation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$7,450,000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2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Not released</w:t>
            </w:r>
          </w:p>
        </w:tc>
      </w:tr>
      <w:tr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Stage 4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Launch Readiness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$4,330,000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3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Not released</w:t>
            </w:r>
          </w:p>
        </w:tc>
      </w:tr>
      <w:tr>
        <w:tc>
          <w:tcPr>
            <w:tcW w:type="dxa" w:w="3860"/>
            <w:gridSpan w:val="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Sum = base</w:t>
            </w:r>
          </w:p>
        </w:tc>
        <w:tc>
          <w:tcPr>
            <w:tcW w:type="dxa" w:w="1930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$25,600,000</w:t>
            </w:r>
          </w:p>
        </w:tc>
        <w:tc>
          <w:tcPr>
            <w:tcW w:type="dxa" w:w="3860"/>
            <w:gridSpan w:val="2"/>
          </w:tcPr>
          <w:p>
            <w:pPr>
              <w:spacing w:before="40" w:after="40"/>
            </w:pPr>
          </w:p>
        </w:tc>
      </w:tr>
    </w:tbl>
    <w:p/>
    <w:p>
      <w:pPr>
        <w:spacing w:before="200" w:after="80"/>
      </w:pPr>
      <w:r>
        <w:rPr>
          <w:b/>
          <w:i w:val="0"/>
          <w:color w:val="14352A"/>
          <w:sz w:val="24"/>
        </w:rPr>
        <w:t>Why the tranches are unequal — the shape is the risk posture</w:t>
      </w:r>
    </w:p>
    <w:p>
      <w:pPr>
        <w:spacing w:after="120"/>
      </w:pPr>
      <w:r>
        <w:rPr>
          <w:b w:val="0"/>
          <w:i w:val="0"/>
          <w:sz w:val="20"/>
        </w:rPr>
        <w:t>The four tranches are not a total divided by four; their shape encodes where the program chose to put money at risk. Stage 1 is deliberately small: it buys the answer to “should this exist?” at the lowest price that produces a decision-grade business case — and its size is why the Gate 1 recycle, painful as it was, repriced the product rather than the company. Stage 2 is the largest because development is where commitments become irreversible: vendor build, hedging infrastructure, filing preparation. Stage 3 funds proving what Stage 2 built, and Stage 4 — the smallest funded stage — buys readiness, not construction. Read as a sequence, the shape says: spend little to decide, most to build, less to prove, least to launch — and at every boundary, a Board that can stop.</w:t>
      </w:r>
    </w:p>
    <w:p>
      <w:pPr>
        <w:spacing w:after="120"/>
      </w:pPr>
      <w:r>
        <w:rPr>
          <w:b w:val="0"/>
          <w:i w:val="0"/>
          <w:sz w:val="20"/>
        </w:rPr>
        <w:t>$14,232,000</w:t>
      </w:r>
    </w:p>
    <w:p>
      <w:pPr>
        <w:spacing w:after="120"/>
      </w:pPr>
      <w:r>
        <w:rPr>
          <w:b w:val="0"/>
          <w:i w:val="0"/>
          <w:sz w:val="20"/>
        </w:rPr>
        <w:t>Released to date (tranches + contingency draws)</w:t>
      </w:r>
    </w:p>
    <w:p>
      <w:pPr>
        <w:spacing w:after="120"/>
      </w:pPr>
      <w:r>
        <w:rPr>
          <w:b w:val="0"/>
          <w:i w:val="0"/>
          <w:sz w:val="20"/>
        </w:rPr>
        <w:t>$13,672,000</w:t>
      </w:r>
    </w:p>
    <w:p>
      <w:pPr>
        <w:spacing w:after="120"/>
      </w:pPr>
      <w:r>
        <w:rPr>
          <w:b w:val="0"/>
          <w:i w:val="0"/>
          <w:sz w:val="20"/>
        </w:rPr>
        <w:t>Unreleased</w:t>
      </w:r>
    </w:p>
    <w:p>
      <w:pPr>
        <w:spacing w:after="120"/>
      </w:pPr>
      <w:r>
        <w:rPr>
          <w:b w:val="0"/>
          <w:i w:val="0"/>
          <w:sz w:val="20"/>
        </w:rPr>
        <w:t>$6,950,000</w:t>
      </w:r>
    </w:p>
    <w:p>
      <w:pPr>
        <w:spacing w:after="120"/>
      </w:pPr>
      <w:r>
        <w:rPr>
          <w:b w:val="0"/>
          <w:i w:val="0"/>
          <w:sz w:val="20"/>
        </w:rPr>
        <w:t>Spent to date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6. Contingency Reserve &amp; Draws to Date</w:t>
      </w:r>
    </w:p>
    <w:p>
      <w:pPr>
        <w:spacing w:after="120"/>
      </w:pPr>
      <w:r>
        <w:rPr>
          <w:b w:val="0"/>
          <w:i w:val="0"/>
          <w:sz w:val="20"/>
        </w:rPr>
        <w:t xml:space="preserve">The 9.0% gate contingency of $2,304,000 is held by the Gate Review Board, not by the Program Manager (Decision </w:t>
      </w:r>
      <w:r>
        <w:rPr>
          <w:b/>
          <w:i w:val="0"/>
          <w:sz w:val="20"/>
        </w:rPr>
        <w:t>D-09</w:t>
      </w:r>
      <w:r>
        <w:rPr>
          <w:b w:val="0"/>
          <w:i w:val="0"/>
          <w:sz w:val="20"/>
        </w:rPr>
        <w:t>). A draw against it requires a gate decision. Two draws are recorded: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Draw</w:t>
            </w:r>
          </w:p>
        </w:tc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Amount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I-01 — Gate 1 recycle loop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$232,000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GC-03 — external actuarial peer review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$180,000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Total drawn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$412,000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Remaining reserve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$1,892,000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The I-01 draw is not a cost overrun in the ordinary sense — it is the itemized price of the Gate 1 recycle loop, fully accounted in the </w:t>
      </w:r>
      <w:r>
        <w:rPr>
          <w:b w:val="0"/>
          <w:i w:val="0"/>
          <w:sz w:val="20"/>
        </w:rPr>
        <w:t>Gate 1 Recycle Memorandum</w:t>
      </w:r>
      <w:r>
        <w:rPr>
          <w:b w:val="0"/>
          <w:i w:val="0"/>
          <w:sz w:val="20"/>
        </w:rPr>
        <w:t xml:space="preserve"> §7. The GC-03 draw funds the external peer review Gate Condition still open; its status is tracked in the </w:t>
      </w:r>
      <w:r>
        <w:rPr>
          <w:b w:val="0"/>
          <w:i w:val="0"/>
          <w:sz w:val="20"/>
        </w:rPr>
        <w:t>Gate Conditions Register</w:t>
      </w:r>
      <w:r>
        <w:rPr>
          <w:b w:val="0"/>
          <w:i w:val="0"/>
          <w:sz w:val="20"/>
        </w:rPr>
        <w:t xml:space="preserve"> and the </w:t>
      </w:r>
      <w:r>
        <w:rPr>
          <w:b w:val="0"/>
          <w:i w:val="0"/>
          <w:sz w:val="20"/>
        </w:rPr>
        <w:t>Gate 2 Readiness Assessment</w:t>
      </w:r>
      <w:r>
        <w:rPr>
          <w:b w:val="0"/>
          <w:i w:val="0"/>
          <w:sz w:val="20"/>
        </w:rPr>
        <w:t>, not here.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7. Spend Position at the Status Date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Measure</w:t>
            </w:r>
          </w:p>
        </w:tc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Amount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Total authorized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$27,904,000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Released to date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$14,232,000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Unreleased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$13,672,000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Spent to date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$6,950,000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>51% of the total ceiling released to date; the remainder sits behind two gates that have not yet convened.</w:t>
      </w:r>
    </w:p>
    <w:p>
      <w:pPr>
        <w:spacing w:before="200" w:after="80"/>
      </w:pPr>
      <w:r>
        <w:rPr>
          <w:b/>
          <w:i w:val="0"/>
          <w:color w:val="14352A"/>
          <w:sz w:val="24"/>
        </w:rPr>
        <w:t>How to read this position, and how not to</w:t>
      </w:r>
    </w:p>
    <w:p>
      <w:pPr>
        <w:spacing w:after="120"/>
      </w:pPr>
      <w:r>
        <w:rPr>
          <w:b w:val="0"/>
          <w:i w:val="0"/>
          <w:sz w:val="20"/>
        </w:rPr>
        <w:t xml:space="preserve">The honest summary of the table above is one sentence: </w:t>
      </w:r>
      <w:r>
        <w:rPr>
          <w:b w:val="0"/>
          <w:i/>
          <w:sz w:val="20"/>
        </w:rPr>
        <w:t>the program has spent 49% of what its gates have released, part-way through the second of four funded windows.</w:t>
      </w:r>
      <w:r>
        <w:rPr>
          <w:b w:val="0"/>
          <w:i w:val="0"/>
          <w:sz w:val="20"/>
        </w:rPr>
        <w:t xml:space="preserve"> Two commonly requested restatements are refused here by design. “Percent of total budget consumed” divides by a ceiling that includes money the Board may never release — it flatters early and punishes late, and is wrong in both directions. “Forecast at completion” requires extrapolating across two unreleased tranches, which manufactures precisely the commitment the gate structure withholds; the program's genuine at-completion statement is conditional and lives in the gate packages, where each release decision is made with the remaining money still on the table. A reader wanting the fuller mechanics of the four funding states should use the </w:t>
      </w:r>
      <w:r>
        <w:rPr>
          <w:b w:val="0"/>
          <w:i w:val="0"/>
          <w:sz w:val="20"/>
        </w:rPr>
        <w:t>Stage Budget Console</w:t>
      </w:r>
      <w:r>
        <w:rPr>
          <w:b w:val="0"/>
          <w:i w:val="0"/>
          <w:sz w:val="20"/>
        </w:rPr>
        <w:t>, which is built from the same facts module as this document and cannot disagree with it.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8. Why No Full-Program Earned Value Baseline</w:t>
      </w:r>
    </w:p>
    <w:p>
      <w:pPr>
        <w:spacing w:after="120"/>
      </w:pPr>
      <w:r>
        <w:rPr>
          <w:b w:val="0"/>
          <w:i w:val="0"/>
          <w:sz w:val="20"/>
        </w:rPr>
        <w:t xml:space="preserve">Every other program-management suite in this portfolio publishes a baselined cost and schedule performance measure across the program's full life. This one does not (Decision </w:t>
      </w:r>
      <w:r>
        <w:rPr>
          <w:b/>
          <w:i w:val="0"/>
          <w:sz w:val="20"/>
        </w:rPr>
        <w:t>D-10</w:t>
      </w:r>
      <w:r>
        <w:rPr>
          <w:b w:val="0"/>
          <w:i w:val="0"/>
          <w:sz w:val="20"/>
        </w:rPr>
        <w:t xml:space="preserve">), and the reason is structural: at the status date, only Stages 1 and 2 are funded. A program-level variance would compare real spend to a budget for Stages 3 and 4 the Board has not yet approved — that is not a variance, it is a forecast dressed as a measurement. Performance is reported within the released tranche only, which is what §5 and §7 above do. The full argument, including why this is the same reasoning the Gate 5 Post-Launch Review will eventually close the loop on, lives in the </w:t>
      </w:r>
      <w:r>
        <w:rPr>
          <w:b w:val="0"/>
          <w:i w:val="0"/>
          <w:sz w:val="20"/>
        </w:rPr>
        <w:t>Methodology Guide</w:t>
      </w:r>
      <w:r>
        <w:rPr>
          <w:b w:val="0"/>
          <w:i w:val="0"/>
          <w:sz w:val="20"/>
        </w:rPr>
        <w:t xml:space="preserve"> §5.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9. Budget Governance &amp; Change Control</w:t>
      </w:r>
    </w:p>
    <w:p>
      <w:pPr>
        <w:spacing w:after="120"/>
      </w:pPr>
      <w:r>
        <w:rPr>
          <w:b w:val="0"/>
          <w:i w:val="0"/>
          <w:sz w:val="20"/>
        </w:rPr>
        <w:t xml:space="preserve">This suite carries no separate change control log. A material change to scope, cost or schedule </w:t>
      </w:r>
      <w:r>
        <w:rPr>
          <w:b w:val="0"/>
          <w:i/>
          <w:sz w:val="20"/>
        </w:rPr>
        <w:t>is</w:t>
      </w:r>
      <w:r>
        <w:rPr>
          <w:b w:val="0"/>
          <w:i w:val="0"/>
          <w:sz w:val="20"/>
        </w:rPr>
        <w:t xml:space="preserve"> a gate re-submission — the mechanism that produced the Gate 1 recycle — not a logged exception to an otherwise-stable baseline. In-stage change that does not rise to that level is absorbed inside the tranche already released and reported at the next gate rather than tracked as a separate artifact. This is a deliberate methodology position: a change log implies a baseline worth protecting from drift, and this program's baseline is the gate itself, re-established every time one convenes.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10. Financial Controls &amp; Reporting Cadence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Control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Cadence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Tranche spend tracked against its own released amount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Monthly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B. Trombley, Program Finance Manager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Contingency draws minuted at the gate authorizing them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At each gate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Review Board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Budget derivation re-verified for arithmetic integrity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Every artifact touching a dollar figure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Chair, via automated guard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Full budget reconciliation tabled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Ten business days before each gate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Chair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>The automated guard referenced above is not a figure of speech: every dollar amount that appears anywhere in this suite is checked against this document's derivation before publication, and a figure that cannot be traced to a recognized line item fails the check rather than shipping.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11. Document Control &amp; Related Documents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Version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Change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1.0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11 Jun 2026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Budget authorized at the Gate 1 second convening alongside the Program Charter.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1.1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16 Oct 2026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Spend figures refreshed to the status date (§7). No change to the authorized ceiling or tranche structure.</w:t>
            </w:r>
          </w:p>
        </w:tc>
      </w:tr>
    </w:tbl>
    <w:p/>
    <w:p>
      <w:pPr>
        <w:spacing w:after="120"/>
      </w:pPr>
      <w:r>
        <w:rPr>
          <w:b/>
          <w:i w:val="0"/>
          <w:sz w:val="20"/>
        </w:rPr>
        <w:t>Related documents:</w:t>
      </w:r>
      <w:r>
        <w:rPr>
          <w:sz w:val="20"/>
        </w:rPr>
        <w:t xml:space="preserve"> </w:t>
      </w:r>
      <w:r>
        <w:rPr>
          <w:b w:val="0"/>
          <w:i w:val="0"/>
          <w:sz w:val="20"/>
        </w:rPr>
        <w:t>Program Charter</w:t>
      </w:r>
      <w:r>
        <w:rPr>
          <w:b w:val="0"/>
          <w:i w:val="0"/>
          <w:sz w:val="20"/>
        </w:rPr>
        <w:t xml:space="preserve"> · </w:t>
      </w:r>
      <w:r>
        <w:rPr>
          <w:b w:val="0"/>
          <w:i w:val="0"/>
          <w:sz w:val="20"/>
        </w:rPr>
        <w:t>Gate 1 Business Case Package</w:t>
      </w:r>
      <w:r>
        <w:rPr>
          <w:b w:val="0"/>
          <w:i w:val="0"/>
          <w:sz w:val="20"/>
        </w:rPr>
        <w:t xml:space="preserve"> · </w:t>
      </w:r>
      <w:r>
        <w:rPr>
          <w:b w:val="0"/>
          <w:i w:val="0"/>
          <w:sz w:val="20"/>
        </w:rPr>
        <w:t>Gate 1 Recycle Memorandum</w:t>
      </w:r>
      <w:r>
        <w:rPr>
          <w:b w:val="0"/>
          <w:i w:val="0"/>
          <w:sz w:val="20"/>
        </w:rPr>
        <w:t xml:space="preserve"> · </w:t>
      </w:r>
      <w:r>
        <w:rPr>
          <w:b w:val="0"/>
          <w:i w:val="0"/>
          <w:sz w:val="20"/>
        </w:rPr>
        <w:t>Gate Conditions Register</w:t>
      </w:r>
      <w:r>
        <w:rPr>
          <w:b w:val="0"/>
          <w:i w:val="0"/>
          <w:sz w:val="20"/>
        </w:rPr>
        <w:t xml:space="preserve"> · </w:t>
      </w:r>
      <w:r>
        <w:rPr>
          <w:b w:val="0"/>
          <w:i w:val="0"/>
          <w:sz w:val="20"/>
        </w:rPr>
        <w:t>Gate 2 Readiness Assessment</w:t>
      </w:r>
      <w:r>
        <w:rPr>
          <w:b w:val="0"/>
          <w:i w:val="0"/>
          <w:sz w:val="20"/>
        </w:rPr>
        <w:t xml:space="preserve"> · </w:t>
      </w:r>
      <w:r>
        <w:rPr>
          <w:b w:val="0"/>
          <w:i w:val="0"/>
          <w:sz w:val="20"/>
        </w:rPr>
        <w:t>Stage-Gate Methodology Guide</w:t>
      </w:r>
      <w:r>
        <w:rPr>
          <w:b w:val="0"/>
          <w:i w:val="0"/>
          <w:sz w:val="20"/>
        </w:rPr>
        <w:t>.</w:t>
      </w:r>
    </w:p>
    <w:p>
      <w:pPr>
        <w:spacing w:after="120"/>
      </w:pPr>
      <w:r>
        <w:rPr>
          <w:b w:val="0"/>
          <w:i w:val="0"/>
          <w:sz w:val="20"/>
        </w:rPr>
        <w:t>Maintained by B. Trombley, Program Finance Manager, under the authority of C. Tyrrell, NPD Program Manager and Chair of the Gate Review Board.</w:t>
      </w:r>
    </w:p>
    <w:p/>
    <w:p>
      <w:pPr>
        <w:jc w:val="left"/>
      </w:pPr>
      <w:r>
        <w:rPr>
          <w:color w:val="5B6472"/>
          <w:sz w:val="15"/>
        </w:rPr>
        <w:t>Lighthouse Financial Services Company — Beacon Index Advantage program. Fictional portfolio artifact produced by C. Tyrrell to</w:t>
        <w:br/>
        <w:t>demonstrate stage-gate new product development governance. No real company, product, person or</w:t>
        <w:br/>
        <w:t>filing is depicted.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