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Program Charter</w:t>
      </w:r>
    </w:p>
    <w:p>
      <w:r>
        <w:rPr>
          <w:color w:val="1E5945"/>
          <w:sz w:val="18"/>
        </w:rPr>
        <w:t>Authorizing Instrument · Chartered at Gate 1</w:t>
      </w:r>
    </w:p>
    <w:p/>
    <w:p>
      <w:pPr>
        <w:spacing w:after="120"/>
      </w:pPr>
      <w:r>
        <w:rPr>
          <w:b/>
          <w:i w:val="0"/>
          <w:sz w:val="20"/>
        </w:rPr>
        <w:t>Lighthouse Financial Services Company</w:t>
      </w:r>
      <w:r>
        <w:rPr>
          <w:b w:val="0"/>
          <w:i w:val="0"/>
          <w:sz w:val="20"/>
        </w:rPr>
        <w:t xml:space="preserve"> — This charter formally establishes the Beacon Index Advantage program: its business case, scope, governance structure, funding ceiling and roster. It is chartered at the 11 June 2026 Gate 1 second convening — the point at which the program moved from a screened concept into a funded, resourced, governed program — the same point-in-time anchor as the Stage-Gate Governance Model and the Gate Decision Framework. Detailed figures live in their owning documents and are cross-referenced rather than restated.</w:t>
      </w:r>
    </w:p>
    <w:p>
      <w:pPr>
        <w:spacing w:after="120"/>
      </w:pPr>
      <w:r>
        <w:rPr>
          <w:b/>
          <w:i w:val="0"/>
          <w:sz w:val="20"/>
        </w:rPr>
        <w:t>Contents</w:t>
      </w:r>
    </w:p>
    <w:p>
      <w:pPr>
        <w:pStyle w:val="ListNumber"/>
        <w:spacing w:after="60"/>
      </w:pPr>
      <w:r>
        <w:rPr>
          <w:b w:val="0"/>
          <w:i w:val="0"/>
          <w:sz w:val="20"/>
        </w:rPr>
        <w:t>Charter Authorization &amp; Document Purpose</w:t>
      </w:r>
    </w:p>
    <w:p>
      <w:pPr>
        <w:pStyle w:val="ListNumber"/>
        <w:spacing w:after="60"/>
      </w:pPr>
      <w:r>
        <w:rPr>
          <w:b w:val="0"/>
          <w:i w:val="0"/>
          <w:sz w:val="20"/>
        </w:rPr>
        <w:t>Business Case &amp; Strategic Context</w:t>
      </w:r>
    </w:p>
    <w:p>
      <w:pPr>
        <w:pStyle w:val="ListNumber"/>
        <w:spacing w:after="60"/>
      </w:pPr>
      <w:r>
        <w:rPr>
          <w:b w:val="0"/>
          <w:i w:val="0"/>
          <w:sz w:val="20"/>
        </w:rPr>
        <w:t>Program Vision &amp; Product Description</w:t>
      </w:r>
    </w:p>
    <w:p>
      <w:pPr>
        <w:pStyle w:val="ListNumber"/>
        <w:spacing w:after="60"/>
      </w:pPr>
      <w:r>
        <w:rPr>
          <w:b w:val="0"/>
          <w:i w:val="0"/>
          <w:sz w:val="20"/>
        </w:rPr>
        <w:t>Program Objectives &amp; Success Criteria</w:t>
      </w:r>
    </w:p>
    <w:p>
      <w:pPr>
        <w:pStyle w:val="ListNumber"/>
        <w:spacing w:after="60"/>
      </w:pPr>
      <w:r>
        <w:rPr>
          <w:b w:val="0"/>
          <w:i w:val="0"/>
          <w:sz w:val="20"/>
        </w:rPr>
        <w:t>Program Scope</w:t>
      </w:r>
    </w:p>
    <w:p>
      <w:pPr>
        <w:pStyle w:val="ListNumber"/>
        <w:spacing w:after="60"/>
      </w:pPr>
      <w:r>
        <w:rPr>
          <w:b w:val="0"/>
          <w:i w:val="0"/>
          <w:sz w:val="20"/>
        </w:rPr>
        <w:t>Stage-Gate Structure &amp; Gate Calendar</w:t>
      </w:r>
    </w:p>
    <w:p>
      <w:pPr>
        <w:pStyle w:val="ListNumber"/>
        <w:spacing w:after="60"/>
      </w:pPr>
      <w:r>
        <w:rPr>
          <w:b w:val="0"/>
          <w:i w:val="0"/>
          <w:sz w:val="20"/>
        </w:rPr>
        <w:t>Key Deliverables &amp; Milestones</w:t>
      </w:r>
    </w:p>
    <w:p>
      <w:pPr>
        <w:pStyle w:val="ListNumber"/>
        <w:spacing w:after="60"/>
      </w:pPr>
      <w:r>
        <w:rPr>
          <w:b w:val="0"/>
          <w:i w:val="0"/>
          <w:sz w:val="20"/>
        </w:rPr>
        <w:t>Governance Structure &amp; Decision Rights</w:t>
      </w:r>
    </w:p>
    <w:p>
      <w:pPr>
        <w:pStyle w:val="ListNumber"/>
        <w:spacing w:after="60"/>
      </w:pPr>
      <w:r>
        <w:rPr>
          <w:b w:val="0"/>
          <w:i w:val="0"/>
          <w:sz w:val="20"/>
        </w:rPr>
        <w:t>Chair Authority &amp; Limitations</w:t>
      </w:r>
    </w:p>
    <w:p>
      <w:pPr>
        <w:pStyle w:val="ListNumber"/>
        <w:spacing w:after="60"/>
      </w:pPr>
      <w:r>
        <w:rPr>
          <w:b w:val="0"/>
          <w:i w:val="0"/>
          <w:sz w:val="20"/>
        </w:rPr>
        <w:t>Organizational Structure &amp; Roster</w:t>
      </w:r>
    </w:p>
    <w:p>
      <w:pPr>
        <w:pStyle w:val="ListNumber"/>
        <w:spacing w:after="60"/>
      </w:pPr>
      <w:r>
        <w:rPr>
          <w:b w:val="0"/>
          <w:i w:val="0"/>
          <w:sz w:val="20"/>
        </w:rPr>
        <w:t>Stakeholder Identification</w:t>
      </w:r>
    </w:p>
    <w:p>
      <w:pPr>
        <w:pStyle w:val="ListNumber"/>
        <w:spacing w:after="60"/>
      </w:pPr>
      <w:r>
        <w:rPr>
          <w:b w:val="0"/>
          <w:i w:val="0"/>
          <w:sz w:val="20"/>
        </w:rPr>
        <w:t>Budget Authorization</w:t>
      </w:r>
    </w:p>
    <w:p>
      <w:pPr>
        <w:pStyle w:val="ListNumber"/>
        <w:spacing w:after="60"/>
      </w:pPr>
      <w:r>
        <w:rPr>
          <w:b w:val="0"/>
          <w:i w:val="0"/>
          <w:sz w:val="20"/>
        </w:rPr>
        <w:t>Funding Release Mechanism</w:t>
      </w:r>
    </w:p>
    <w:p>
      <w:pPr>
        <w:pStyle w:val="ListNumber"/>
        <w:spacing w:after="60"/>
      </w:pPr>
      <w:r>
        <w:rPr>
          <w:b w:val="0"/>
          <w:i w:val="0"/>
          <w:sz w:val="20"/>
        </w:rPr>
        <w:t>Contingency Reserve &amp; Financial Controls</w:t>
      </w:r>
    </w:p>
    <w:p>
      <w:pPr>
        <w:pStyle w:val="ListNumber"/>
        <w:spacing w:after="60"/>
      </w:pPr>
      <w:r>
        <w:rPr>
          <w:b w:val="0"/>
          <w:i w:val="0"/>
          <w:sz w:val="20"/>
        </w:rPr>
        <w:t>Regulatory &amp; Compliance Framework</w:t>
      </w:r>
    </w:p>
    <w:p>
      <w:pPr>
        <w:pStyle w:val="ListNumber"/>
        <w:spacing w:after="60"/>
      </w:pPr>
      <w:r>
        <w:rPr>
          <w:b w:val="0"/>
          <w:i w:val="0"/>
          <w:sz w:val="20"/>
        </w:rPr>
        <w:t>High-Level Risk Assessment</w:t>
      </w:r>
    </w:p>
    <w:p>
      <w:pPr>
        <w:pStyle w:val="ListNumber"/>
        <w:spacing w:after="60"/>
      </w:pPr>
      <w:r>
        <w:rPr>
          <w:b w:val="0"/>
          <w:i w:val="0"/>
          <w:sz w:val="20"/>
        </w:rPr>
        <w:t>Assumptions</w:t>
      </w:r>
    </w:p>
    <w:p>
      <w:pPr>
        <w:pStyle w:val="ListNumber"/>
        <w:spacing w:after="60"/>
      </w:pPr>
      <w:r>
        <w:rPr>
          <w:b w:val="0"/>
          <w:i w:val="0"/>
          <w:sz w:val="20"/>
        </w:rPr>
        <w:t>Constraints</w:t>
      </w:r>
    </w:p>
    <w:p>
      <w:pPr>
        <w:pStyle w:val="ListNumber"/>
        <w:spacing w:after="60"/>
      </w:pPr>
      <w:r>
        <w:rPr>
          <w:b w:val="0"/>
          <w:i w:val="0"/>
          <w:sz w:val="20"/>
        </w:rPr>
        <w:t>Dependencies</w:t>
      </w:r>
    </w:p>
    <w:p>
      <w:pPr>
        <w:pStyle w:val="ListNumber"/>
        <w:spacing w:after="60"/>
      </w:pPr>
      <w:r>
        <w:rPr>
          <w:b w:val="0"/>
          <w:i w:val="0"/>
          <w:sz w:val="20"/>
        </w:rPr>
        <w:t>What This Charter Does Not Authorize</w:t>
      </w:r>
    </w:p>
    <w:p>
      <w:pPr>
        <w:pStyle w:val="ListNumber"/>
        <w:spacing w:after="60"/>
      </w:pPr>
      <w:r>
        <w:rPr>
          <w:b w:val="0"/>
          <w:i w:val="0"/>
          <w:sz w:val="20"/>
        </w:rPr>
        <w:t>Document Control &amp; Related Documents</w:t>
      </w:r>
    </w:p>
    <w:p>
      <w:pPr>
        <w:pStyle w:val="ListNumber"/>
        <w:spacing w:after="60"/>
      </w:pPr>
      <w:r>
        <w:rPr>
          <w:b w:val="0"/>
          <w:i w:val="0"/>
          <w:sz w:val="20"/>
        </w:rPr>
        <w:t>Approval</w:t>
      </w:r>
    </w:p>
    <w:p>
      <w:pPr>
        <w:spacing w:before="360"/>
      </w:pPr>
      <w:r>
        <w:rPr>
          <w:b/>
          <w:i w:val="0"/>
          <w:color w:val="1E5945"/>
          <w:sz w:val="22"/>
        </w:rPr>
        <w:t>Part I — Why This Program Exists</w:t>
      </w:r>
    </w:p>
    <w:p>
      <w:pPr>
        <w:spacing w:before="280" w:after="80"/>
      </w:pPr>
      <w:r>
        <w:rPr>
          <w:b/>
          <w:i w:val="0"/>
          <w:color w:val="14352A"/>
          <w:sz w:val="28"/>
        </w:rPr>
        <w:t>1. Charter Authorization &amp; Document Purpose</w:t>
      </w:r>
    </w:p>
    <w:p>
      <w:pPr>
        <w:spacing w:after="120"/>
      </w:pPr>
      <w:r>
        <w:rPr>
          <w:b w:val="0"/>
          <w:i w:val="0"/>
          <w:sz w:val="20"/>
        </w:rPr>
        <w:t xml:space="preserve">This charter authorizes </w:t>
      </w:r>
      <w:r>
        <w:rPr>
          <w:b/>
          <w:i w:val="0"/>
          <w:sz w:val="20"/>
        </w:rPr>
        <w:t>C. Tyrrell</w:t>
      </w:r>
      <w:r>
        <w:rPr>
          <w:b w:val="0"/>
          <w:i w:val="0"/>
          <w:sz w:val="20"/>
        </w:rPr>
        <w:t xml:space="preserve"> to act as NPD Program Manager and Chair of the Gate Review Board for the Beacon Index Advantage program, and establishes the program's business case, scope, governance structure and funding ceiling as of 11 June 2026. It does not itself release money — funding is released tranche by tranche at each gate under §13 — and it is not amended each time a gate convenes; gate outcomes are recorded in the </w:t>
      </w:r>
      <w:r>
        <w:rPr>
          <w:b w:val="0"/>
          <w:i w:val="0"/>
          <w:sz w:val="20"/>
        </w:rPr>
        <w:t>Gate Decision Framework</w:t>
      </w:r>
      <w:r>
        <w:rPr>
          <w:b w:val="0"/>
          <w:i w:val="0"/>
          <w:sz w:val="20"/>
        </w:rPr>
        <w:t xml:space="preserve"> §13 scored record and the </w:t>
      </w:r>
      <w:r>
        <w:rPr>
          <w:b w:val="0"/>
          <w:i w:val="0"/>
          <w:sz w:val="20"/>
        </w:rPr>
        <w:t>Gate Conditions Register</w:t>
      </w:r>
      <w:r>
        <w:rPr>
          <w:b w:val="0"/>
          <w:i w:val="0"/>
          <w:sz w:val="20"/>
        </w:rPr>
        <w:t>, not here. This document answers one question: what was this program authorized to be, and on what terms.</w:t>
      </w:r>
    </w:p>
    <w:p>
      <w:pPr>
        <w:spacing w:before="280" w:after="80"/>
      </w:pPr>
      <w:r>
        <w:rPr>
          <w:b/>
          <w:i w:val="0"/>
          <w:color w:val="14352A"/>
          <w:sz w:val="28"/>
        </w:rPr>
        <w:t>2. Business Case &amp; Strategic Context</w:t>
      </w:r>
    </w:p>
    <w:p>
      <w:pPr>
        <w:spacing w:after="120"/>
      </w:pPr>
      <w:r>
        <w:rPr>
          <w:b w:val="0"/>
          <w:i w:val="0"/>
          <w:sz w:val="20"/>
        </w:rPr>
        <w:t>Lighthouse Financial Services Company is a mid-size US life &amp; annuity carrier that manufactures its own product. The carrier's existing indexed annuity shelf has not been refreshed in several product cycles, and distribution partners have asked for a competitively priced fixed indexed annuity with a modern guaranteed income rider. The board-approved business case — scored at the Gate 1 second convening after a recycle corrected an overstated capital charge — shows a five-year premium opportunity of $1,875,000,000 against a projected internal rate of return of 13.4%, above the 11.0% hurdle but with a downside case that does not clear it. Full economics, the corrected capital charge, and the written distribution commitments behind the forecast are the Gate 1 Business Case Package's record, not this charter's; this charter treats the business case as a settled input and focuses on what it authorizes as a result.</w:t>
      </w:r>
    </w:p>
    <w:p>
      <w:pPr>
        <w:spacing w:before="280" w:after="80"/>
      </w:pPr>
      <w:r>
        <w:rPr>
          <w:b/>
          <w:i w:val="0"/>
          <w:color w:val="14352A"/>
          <w:sz w:val="28"/>
        </w:rPr>
        <w:t>3. Program Vision &amp; Product Description</w:t>
      </w:r>
    </w:p>
    <w:p>
      <w:pPr>
        <w:spacing w:after="120"/>
      </w:pPr>
      <w:r>
        <w:rPr>
          <w:b w:val="0"/>
          <w:i w:val="0"/>
          <w:sz w:val="20"/>
        </w:rPr>
        <w:t xml:space="preserve">The program builds, files and launches </w:t>
      </w:r>
      <w:r>
        <w:rPr>
          <w:b/>
          <w:i w:val="0"/>
          <w:sz w:val="20"/>
        </w:rPr>
        <w:t>Beacon Index Advantage</w:t>
      </w:r>
      <w:r>
        <w:rPr>
          <w:b w:val="0"/>
          <w:i w:val="0"/>
          <w:sz w:val="20"/>
        </w:rPr>
        <w:t xml:space="preserve">: a single-premium deferred </w:t>
      </w:r>
      <w:r>
        <w:rPr>
          <w:b/>
          <w:i w:val="0"/>
          <w:sz w:val="20"/>
        </w:rPr>
        <w:t>fixed</w:t>
      </w:r>
      <w:r>
        <w:rPr>
          <w:b w:val="0"/>
          <w:i w:val="0"/>
          <w:sz w:val="20"/>
        </w:rPr>
        <w:t xml:space="preserve"> indexed annuity with a seven-year declining surrender charge and an </w:t>
      </w:r>
      <w:r>
        <w:rPr>
          <w:b/>
          <w:i w:val="0"/>
          <w:sz w:val="20"/>
        </w:rPr>
        <w:t>optional</w:t>
      </w:r>
      <w:r>
        <w:rPr>
          <w:b w:val="0"/>
          <w:i w:val="0"/>
          <w:sz w:val="20"/>
        </w:rPr>
        <w:t xml:space="preserve"> Guaranteed Lifetime Withdrawal Benefit rider (Decision </w:t>
      </w:r>
      <w:r>
        <w:rPr>
          <w:b/>
          <w:i w:val="0"/>
          <w:sz w:val="20"/>
        </w:rPr>
        <w:t>D-05</w:t>
      </w:r>
      <w:r>
        <w:rPr>
          <w:b w:val="0"/>
          <w:i w:val="0"/>
          <w:sz w:val="20"/>
        </w:rPr>
        <w:t xml:space="preserve">). At launch the product offers three crediting strategies — a fixed account, a one-year point-to-point strategy on the Calder Balanced 5 Index with a cap, and a one-year performance-triggered strategy — reduced from an initially proposed five under Gate Condition </w:t>
      </w:r>
      <w:r>
        <w:rPr>
          <w:b/>
          <w:i w:val="0"/>
          <w:sz w:val="20"/>
        </w:rPr>
        <w:t>GC-01</w:t>
      </w:r>
      <w:r>
        <w:rPr>
          <w:b w:val="0"/>
          <w:i w:val="0"/>
          <w:sz w:val="20"/>
        </w:rPr>
        <w:t xml:space="preserve">. The product is deliberately </w:t>
      </w:r>
      <w:r>
        <w:rPr>
          <w:b/>
          <w:i w:val="0"/>
          <w:sz w:val="20"/>
        </w:rPr>
        <w:t>not</w:t>
      </w:r>
      <w:r>
        <w:rPr>
          <w:b w:val="0"/>
          <w:i w:val="0"/>
          <w:sz w:val="20"/>
        </w:rPr>
        <w:t xml:space="preserve"> a Registered Index-Linked Annuity (Decision </w:t>
      </w:r>
      <w:r>
        <w:rPr>
          <w:b/>
          <w:i w:val="0"/>
          <w:sz w:val="20"/>
        </w:rPr>
        <w:t>D-01</w:t>
      </w:r>
      <w:r>
        <w:rPr>
          <w:b w:val="0"/>
          <w:i w:val="0"/>
          <w:sz w:val="20"/>
        </w:rPr>
        <w:t xml:space="preserve">): a RILA is a registered security and would bring SEC registration and FINRA distribution oversight into scope. Structuring the product as a non-registered fixed indexed annuity keeps the entire regulatory story inside the state insurance department filing lane described at §15. The predecessor concept this same Board considered was a RILA; see the </w:t>
      </w:r>
      <w:r>
        <w:rPr>
          <w:b w:val="0"/>
          <w:i w:val="0"/>
          <w:sz w:val="20"/>
        </w:rPr>
        <w:t>Prior Concept Cancellation Record</w:t>
      </w:r>
      <w:r>
        <w:rPr>
          <w:b w:val="0"/>
          <w:i w:val="0"/>
          <w:sz w:val="20"/>
        </w:rPr>
        <w:t xml:space="preserve"> for why it did not proceed on those terms.</w:t>
      </w:r>
    </w:p>
    <w:p>
      <w:pPr>
        <w:spacing w:before="280" w:after="80"/>
      </w:pPr>
      <w:r>
        <w:rPr>
          <w:b/>
          <w:i w:val="0"/>
          <w:color w:val="14352A"/>
          <w:sz w:val="28"/>
        </w:rPr>
        <w:t>4. Program Objectives &amp; Success Criteria</w:t>
      </w:r>
    </w:p>
    <w:p>
      <w:pPr>
        <w:pStyle w:val="ListNumber"/>
        <w:spacing w:after="60"/>
      </w:pPr>
      <w:r>
        <w:rPr>
          <w:b/>
          <w:i w:val="0"/>
          <w:sz w:val="20"/>
        </w:rPr>
        <w:t>Launch a compliant, competitively priced product</w:t>
      </w:r>
      <w:r>
        <w:rPr>
          <w:b w:val="0"/>
          <w:i w:val="0"/>
          <w:sz w:val="20"/>
        </w:rPr>
        <w:t xml:space="preserve"> on 06 March 2028, with an illustrated cap rate holding at or above the 8.50% competitive floor fixed at Gate 1.</w:t>
      </w:r>
    </w:p>
    <w:p>
      <w:pPr>
        <w:pStyle w:val="ListNumber"/>
        <w:spacing w:after="60"/>
      </w:pPr>
      <w:r>
        <w:rPr>
          <w:b/>
          <w:i w:val="0"/>
          <w:sz w:val="20"/>
        </w:rPr>
        <w:t>Clear the 11.0% hurdle rate</w:t>
      </w:r>
      <w:r>
        <w:rPr>
          <w:b w:val="0"/>
          <w:i w:val="0"/>
          <w:sz w:val="20"/>
        </w:rPr>
        <w:t xml:space="preserve"> on current capital treatment through the life of the five-year forecast, re-tested at every gate as assumptions are refreshed.</w:t>
      </w:r>
    </w:p>
    <w:p>
      <w:pPr>
        <w:pStyle w:val="ListNumber"/>
        <w:spacing w:after="60"/>
      </w:pPr>
      <w:r>
        <w:rPr>
          <w:b/>
          <w:i w:val="0"/>
          <w:sz w:val="20"/>
        </w:rPr>
        <w:t>File through the primary Compact route</w:t>
      </w:r>
      <w:r>
        <w:rPr>
          <w:b w:val="0"/>
          <w:i w:val="0"/>
          <w:sz w:val="20"/>
        </w:rPr>
        <w:t xml:space="preserve"> with non-Compact states in parallel, reaching the target launch footprint without a New York workstream (Decision </w:t>
      </w:r>
      <w:r>
        <w:rPr>
          <w:b/>
          <w:i w:val="0"/>
          <w:sz w:val="20"/>
        </w:rPr>
        <w:t>D-02</w:t>
      </w:r>
      <w:r>
        <w:rPr>
          <w:b w:val="0"/>
          <w:i w:val="0"/>
          <w:sz w:val="20"/>
        </w:rPr>
        <w:t>).</w:t>
      </w:r>
    </w:p>
    <w:p>
      <w:pPr>
        <w:pStyle w:val="ListNumber"/>
        <w:spacing w:after="60"/>
      </w:pPr>
      <w:r>
        <w:rPr>
          <w:b/>
          <w:i w:val="0"/>
          <w:sz w:val="20"/>
        </w:rPr>
        <w:t>Execute hedging in-house</w:t>
      </w:r>
      <w:r>
        <w:rPr>
          <w:b w:val="0"/>
          <w:i w:val="0"/>
          <w:sz w:val="20"/>
        </w:rPr>
        <w:t xml:space="preserve"> against the guarantee exposure, with readiness demonstrated — not merely planned — before Gate 4.</w:t>
      </w:r>
    </w:p>
    <w:p>
      <w:pPr>
        <w:pStyle w:val="ListNumber"/>
        <w:spacing w:after="60"/>
      </w:pPr>
      <w:r>
        <w:rPr>
          <w:b/>
          <w:i w:val="0"/>
          <w:sz w:val="20"/>
        </w:rPr>
        <w:t>Close every Gate 1 condition</w:t>
      </w:r>
      <w:r>
        <w:rPr>
          <w:b w:val="0"/>
          <w:i w:val="0"/>
          <w:sz w:val="20"/>
        </w:rPr>
        <w:t xml:space="preserve"> on the evidence standard recorded at issue, verified by the Chair against that standard rather than one renegotiated at closure.</w:t>
      </w:r>
    </w:p>
    <w:p>
      <w:pPr>
        <w:pStyle w:val="ListNumber"/>
        <w:spacing w:after="60"/>
      </w:pPr>
      <w:r>
        <w:rPr>
          <w:b/>
          <w:i w:val="0"/>
          <w:sz w:val="20"/>
        </w:rPr>
        <w:t>Hold Gate 5</w:t>
      </w:r>
      <w:r>
        <w:rPr>
          <w:b w:val="0"/>
          <w:i w:val="0"/>
          <w:sz w:val="20"/>
        </w:rPr>
        <w:t xml:space="preserve"> and report actual results against what Gate 1 forecast, whichever direction the variance runs.</w:t>
      </w:r>
    </w:p>
    <w:p>
      <w:pPr>
        <w:spacing w:before="280" w:after="80"/>
      </w:pPr>
      <w:r>
        <w:rPr>
          <w:b/>
          <w:i w:val="0"/>
          <w:color w:val="14352A"/>
          <w:sz w:val="28"/>
        </w:rPr>
        <w:t>5. Program Scope</w:t>
      </w:r>
    </w:p>
    <w:p>
      <w:pPr>
        <w:spacing w:before="200" w:after="80"/>
      </w:pPr>
      <w:r>
        <w:rPr>
          <w:b/>
          <w:i w:val="0"/>
          <w:color w:val="1B2130"/>
          <w:sz w:val="21"/>
        </w:rPr>
        <w:t>In scope</w:t>
      </w:r>
    </w:p>
    <w:p>
      <w:pPr>
        <w:pStyle w:val="ListBullet"/>
        <w:spacing w:after="60"/>
      </w:pPr>
      <w:r>
        <w:rPr>
          <w:b w:val="0"/>
          <w:i w:val="0"/>
          <w:sz w:val="20"/>
        </w:rPr>
        <w:t>Product design, pricing and contract form development for the FIA base contract and the optional GLWB rider.</w:t>
      </w:r>
    </w:p>
    <w:p>
      <w:pPr>
        <w:pStyle w:val="ListBullet"/>
        <w:spacing w:after="60"/>
      </w:pPr>
      <w:r>
        <w:rPr>
          <w:b w:val="0"/>
          <w:i w:val="0"/>
          <w:sz w:val="20"/>
        </w:rPr>
        <w:t>Regulatory filing through the Compact and non-Compact states in the launch footprint.</w:t>
      </w:r>
    </w:p>
    <w:p>
      <w:pPr>
        <w:pStyle w:val="ListBullet"/>
        <w:spacing w:after="60"/>
      </w:pPr>
      <w:r>
        <w:rPr>
          <w:b w:val="0"/>
          <w:i w:val="0"/>
          <w:sz w:val="20"/>
        </w:rPr>
        <w:t xml:space="preserve">Extension of the incumbent annuity administration platform (Decision </w:t>
      </w:r>
      <w:r>
        <w:rPr>
          <w:b/>
          <w:i w:val="0"/>
          <w:sz w:val="20"/>
        </w:rPr>
        <w:t>D-07</w:t>
      </w:r>
      <w:r>
        <w:rPr>
          <w:b w:val="0"/>
          <w:i w:val="0"/>
          <w:sz w:val="20"/>
        </w:rPr>
        <w:t xml:space="preserve">) and the incumbent illustration and quoting engine (Decision </w:t>
      </w:r>
      <w:r>
        <w:rPr>
          <w:b/>
          <w:i w:val="0"/>
          <w:sz w:val="20"/>
        </w:rPr>
        <w:t>D-04</w:t>
      </w:r>
      <w:r>
        <w:rPr>
          <w:b w:val="0"/>
          <w:i w:val="0"/>
          <w:sz w:val="20"/>
        </w:rPr>
        <w:t>) to support the product.</w:t>
      </w:r>
    </w:p>
    <w:p>
      <w:pPr>
        <w:pStyle w:val="ListBullet"/>
        <w:spacing w:after="60"/>
      </w:pPr>
      <w:r>
        <w:rPr>
          <w:b w:val="0"/>
          <w:i w:val="0"/>
          <w:sz w:val="20"/>
        </w:rPr>
        <w:t xml:space="preserve">In-house hedging program setup for the GLWB guarantee (Decision </w:t>
      </w:r>
      <w:r>
        <w:rPr>
          <w:b/>
          <w:i w:val="0"/>
          <w:sz w:val="20"/>
        </w:rPr>
        <w:t>D-08</w:t>
      </w:r>
      <w:r>
        <w:rPr>
          <w:b w:val="0"/>
          <w:i w:val="0"/>
          <w:sz w:val="20"/>
        </w:rPr>
        <w:t>).</w:t>
      </w:r>
    </w:p>
    <w:p>
      <w:pPr>
        <w:pStyle w:val="ListBullet"/>
        <w:spacing w:after="60"/>
      </w:pPr>
      <w:r>
        <w:rPr>
          <w:b w:val="0"/>
          <w:i w:val="0"/>
          <w:sz w:val="20"/>
        </w:rPr>
        <w:t xml:space="preserve">Distribution enablement, wholesaler training and launch marketing through existing IMO/broker- dealer relationships (Assumption </w:t>
      </w:r>
      <w:r>
        <w:rPr>
          <w:b/>
          <w:i w:val="0"/>
          <w:sz w:val="20"/>
        </w:rPr>
        <w:t>A-05</w:t>
      </w:r>
      <w:r>
        <w:rPr>
          <w:b w:val="0"/>
          <w:i w:val="0"/>
          <w:sz w:val="20"/>
        </w:rPr>
        <w:t>).</w:t>
      </w:r>
    </w:p>
    <w:p>
      <w:pPr>
        <w:pStyle w:val="ListBullet"/>
        <w:spacing w:after="60"/>
      </w:pPr>
      <w:r>
        <w:rPr>
          <w:b w:val="0"/>
          <w:i w:val="0"/>
          <w:sz w:val="20"/>
        </w:rPr>
        <w:t>Operations readiness for new business issue and ongoing policyholder servicing.</w:t>
      </w:r>
    </w:p>
    <w:p>
      <w:pPr>
        <w:spacing w:before="200" w:after="80"/>
      </w:pPr>
      <w:r>
        <w:rPr>
          <w:b/>
          <w:i w:val="0"/>
          <w:color w:val="1B2130"/>
          <w:sz w:val="21"/>
        </w:rPr>
        <w:t>Explicitly out of scope</w:t>
      </w:r>
    </w:p>
    <w:p>
      <w:pPr>
        <w:pStyle w:val="ListBullet"/>
        <w:spacing w:after="60"/>
      </w:pPr>
      <w:r>
        <w:rPr>
          <w:b/>
          <w:i w:val="0"/>
          <w:sz w:val="20"/>
        </w:rPr>
        <w:t>New York</w:t>
      </w:r>
      <w:r>
        <w:rPr>
          <w:b w:val="0"/>
          <w:i w:val="0"/>
          <w:sz w:val="20"/>
        </w:rPr>
        <w:t xml:space="preserve"> at launch (Assumption </w:t>
      </w:r>
      <w:r>
        <w:rPr>
          <w:b/>
          <w:i w:val="0"/>
          <w:sz w:val="20"/>
        </w:rPr>
        <w:t>A-03</w:t>
      </w:r>
      <w:r>
        <w:rPr>
          <w:b w:val="0"/>
          <w:i w:val="0"/>
          <w:sz w:val="20"/>
        </w:rPr>
        <w:t xml:space="preserve">, Decision </w:t>
      </w:r>
      <w:r>
        <w:rPr>
          <w:b/>
          <w:i w:val="0"/>
          <w:sz w:val="20"/>
        </w:rPr>
        <w:t>D-02</w:t>
      </w:r>
      <w:r>
        <w:rPr>
          <w:b w:val="0"/>
          <w:i w:val="0"/>
          <w:sz w:val="20"/>
        </w:rPr>
        <w:t xml:space="preserve">) — a deferral memorandum, not a permanent exclusion, closed under </w:t>
      </w:r>
      <w:r>
        <w:rPr>
          <w:b/>
          <w:i w:val="0"/>
          <w:sz w:val="20"/>
        </w:rPr>
        <w:t>GC-02</w:t>
      </w:r>
      <w:r>
        <w:rPr>
          <w:b w:val="0"/>
          <w:i w:val="0"/>
          <w:sz w:val="20"/>
        </w:rPr>
        <w:t>.</w:t>
      </w:r>
    </w:p>
    <w:p>
      <w:pPr>
        <w:pStyle w:val="ListBullet"/>
        <w:spacing w:after="60"/>
      </w:pPr>
      <w:r>
        <w:rPr>
          <w:b/>
          <w:i w:val="0"/>
          <w:sz w:val="20"/>
        </w:rPr>
        <w:t>SEC registration and FINRA distribution oversight</w:t>
      </w:r>
      <w:r>
        <w:rPr>
          <w:b w:val="0"/>
          <w:i w:val="0"/>
          <w:sz w:val="20"/>
        </w:rPr>
        <w:t xml:space="preserve"> — excluded by the FIA structure itself (Decision </w:t>
      </w:r>
      <w:r>
        <w:rPr>
          <w:b/>
          <w:i w:val="0"/>
          <w:sz w:val="20"/>
        </w:rPr>
        <w:t>D-01</w:t>
      </w:r>
      <w:r>
        <w:rPr>
          <w:b w:val="0"/>
          <w:i w:val="0"/>
          <w:sz w:val="20"/>
        </w:rPr>
        <w:t>).</w:t>
      </w:r>
    </w:p>
    <w:p>
      <w:pPr>
        <w:pStyle w:val="ListBullet"/>
        <w:spacing w:after="60"/>
      </w:pPr>
      <w:r>
        <w:rPr>
          <w:b/>
          <w:i w:val="0"/>
          <w:sz w:val="20"/>
        </w:rPr>
        <w:t>A new administration platform or a new distribution channel</w:t>
      </w:r>
      <w:r>
        <w:rPr>
          <w:b w:val="0"/>
          <w:i w:val="0"/>
          <w:sz w:val="20"/>
        </w:rPr>
        <w:t xml:space="preserve"> — both decisions locked against build in favor of extending existing capability (</w:t>
      </w:r>
      <w:r>
        <w:rPr>
          <w:b/>
          <w:i w:val="0"/>
          <w:sz w:val="20"/>
        </w:rPr>
        <w:t>D-04, D-07, A-05</w:t>
      </w:r>
      <w:r>
        <w:rPr>
          <w:b w:val="0"/>
          <w:i w:val="0"/>
          <w:sz w:val="20"/>
        </w:rPr>
        <w:t>).</w:t>
      </w:r>
    </w:p>
    <w:p>
      <w:pPr>
        <w:pStyle w:val="ListBullet"/>
        <w:spacing w:after="60"/>
      </w:pPr>
      <w:r>
        <w:rPr>
          <w:b/>
          <w:i w:val="0"/>
          <w:sz w:val="20"/>
        </w:rPr>
        <w:t>Two of the five originally proposed crediting strategies</w:t>
      </w:r>
      <w:r>
        <w:rPr>
          <w:b w:val="0"/>
          <w:i w:val="0"/>
          <w:sz w:val="20"/>
        </w:rPr>
        <w:t>, killed at Gate 1 rather than carried as technical debt (</w:t>
      </w:r>
      <w:r>
        <w:rPr>
          <w:b/>
          <w:i w:val="0"/>
          <w:sz w:val="20"/>
        </w:rPr>
        <w:t>GC-01</w:t>
      </w:r>
      <w:r>
        <w:rPr>
          <w:b w:val="0"/>
          <w:i w:val="0"/>
          <w:sz w:val="20"/>
        </w:rPr>
        <w:t xml:space="preserve">, Decision </w:t>
      </w:r>
      <w:r>
        <w:rPr>
          <w:b/>
          <w:i w:val="0"/>
          <w:sz w:val="20"/>
        </w:rPr>
        <w:t>D-03</w:t>
      </w:r>
      <w:r>
        <w:rPr>
          <w:b w:val="0"/>
          <w:i w:val="0"/>
          <w:sz w:val="20"/>
        </w:rPr>
        <w:t>).</w:t>
      </w:r>
    </w:p>
    <w:p>
      <w:pPr>
        <w:pStyle w:val="ListBullet"/>
        <w:spacing w:after="60"/>
      </w:pPr>
      <w:r>
        <w:rPr>
          <w:b/>
          <w:i w:val="0"/>
          <w:sz w:val="20"/>
        </w:rPr>
        <w:t>A full-program earned value baseline</w:t>
      </w:r>
      <w:r>
        <w:rPr>
          <w:b w:val="0"/>
          <w:i w:val="0"/>
          <w:sz w:val="20"/>
        </w:rPr>
        <w:t xml:space="preserve"> — see §20.</w:t>
      </w:r>
    </w:p>
    <w:p>
      <w:pPr>
        <w:spacing w:before="360"/>
      </w:pPr>
      <w:r>
        <w:rPr>
          <w:b/>
          <w:i w:val="0"/>
          <w:color w:val="1E5945"/>
          <w:sz w:val="22"/>
        </w:rPr>
        <w:t>Part II — How the Program Is Governed</w:t>
      </w:r>
    </w:p>
    <w:p>
      <w:pPr>
        <w:spacing w:before="280" w:after="80"/>
      </w:pPr>
      <w:r>
        <w:rPr>
          <w:b/>
          <w:i w:val="0"/>
          <w:color w:val="14352A"/>
          <w:sz w:val="28"/>
        </w:rPr>
        <w:t>6. Stage-Gate Structure &amp; Gate Calendar</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Gate</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Releases</w:t>
            </w:r>
          </w:p>
        </w:tc>
      </w:tr>
      <w:tr>
        <w:tc>
          <w:tcPr>
            <w:tcW w:type="dxa" w:w="3216"/>
          </w:tcPr>
          <w:p>
            <w:pPr>
              <w:spacing w:before="40" w:after="40"/>
            </w:pPr>
            <w:r>
              <w:rPr>
                <w:b w:val="0"/>
                <w:i w:val="0"/>
                <w:sz w:val="17"/>
              </w:rPr>
              <w:t>Gate 0 — Concept Screening</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$2,180,000</w:t>
            </w:r>
          </w:p>
        </w:tc>
      </w:tr>
      <w:tr>
        <w:tc>
          <w:tcPr>
            <w:tcW w:type="dxa" w:w="3216"/>
          </w:tcPr>
          <w:p>
            <w:pPr>
              <w:spacing w:before="40" w:after="40"/>
            </w:pPr>
            <w:r>
              <w:rPr>
                <w:b w:val="0"/>
                <w:i w:val="0"/>
                <w:sz w:val="17"/>
              </w:rPr>
              <w:t>Gate 1 — Business Case</w:t>
            </w:r>
          </w:p>
        </w:tc>
        <w:tc>
          <w:tcPr>
            <w:tcW w:type="dxa" w:w="3216"/>
          </w:tcPr>
          <w:p>
            <w:pPr>
              <w:spacing w:before="40" w:after="40"/>
            </w:pPr>
            <w:r>
              <w:rPr>
                <w:b w:val="0"/>
                <w:i w:val="0"/>
                <w:sz w:val="17"/>
              </w:rPr>
              <w:t>11 Jun 2026 (second convening)</w:t>
            </w:r>
          </w:p>
        </w:tc>
        <w:tc>
          <w:tcPr>
            <w:tcW w:type="dxa" w:w="3216"/>
          </w:tcPr>
          <w:p>
            <w:pPr>
              <w:spacing w:before="40" w:after="40"/>
            </w:pPr>
            <w:r>
              <w:rPr>
                <w:b w:val="0"/>
                <w:i w:val="0"/>
                <w:sz w:val="17"/>
              </w:rPr>
              <w:t>$11,640,000</w:t>
            </w:r>
          </w:p>
        </w:tc>
      </w:tr>
      <w:tr>
        <w:tc>
          <w:tcPr>
            <w:tcW w:type="dxa" w:w="3216"/>
          </w:tcPr>
          <w:p>
            <w:pPr>
              <w:spacing w:before="40" w:after="40"/>
            </w:pPr>
            <w:r>
              <w:rPr>
                <w:b w:val="0"/>
                <w:i w:val="0"/>
                <w:sz w:val="17"/>
              </w:rPr>
              <w:t>Gate 2 — Development Complete &amp; Filing Readiness</w:t>
            </w:r>
          </w:p>
        </w:tc>
        <w:tc>
          <w:tcPr>
            <w:tcW w:type="dxa" w:w="3216"/>
          </w:tcPr>
          <w:p>
            <w:pPr>
              <w:spacing w:before="40" w:after="40"/>
            </w:pPr>
            <w:r>
              <w:rPr>
                <w:b w:val="0"/>
                <w:i w:val="0"/>
                <w:sz w:val="17"/>
              </w:rPr>
              <w:t>01 Apr 2027</w:t>
            </w:r>
          </w:p>
        </w:tc>
        <w:tc>
          <w:tcPr>
            <w:tcW w:type="dxa" w:w="3216"/>
          </w:tcPr>
          <w:p>
            <w:pPr>
              <w:spacing w:before="40" w:after="40"/>
            </w:pPr>
            <w:r>
              <w:rPr>
                <w:b w:val="0"/>
                <w:i w:val="0"/>
                <w:sz w:val="17"/>
              </w:rPr>
              <w:t>$7,450,000</w:t>
            </w:r>
          </w:p>
        </w:tc>
      </w:tr>
      <w:tr>
        <w:tc>
          <w:tcPr>
            <w:tcW w:type="dxa" w:w="3216"/>
          </w:tcPr>
          <w:p>
            <w:pPr>
              <w:spacing w:before="40" w:after="40"/>
            </w:pPr>
            <w:r>
              <w:rPr>
                <w:b w:val="0"/>
                <w:i w:val="0"/>
                <w:sz w:val="17"/>
              </w:rPr>
              <w:t>Gate 3 — Validation &amp; Filing Approval</w:t>
            </w:r>
          </w:p>
        </w:tc>
        <w:tc>
          <w:tcPr>
            <w:tcW w:type="dxa" w:w="3216"/>
          </w:tcPr>
          <w:p>
            <w:pPr>
              <w:spacing w:before="40" w:after="40"/>
            </w:pPr>
            <w:r>
              <w:rPr>
                <w:b w:val="0"/>
                <w:i w:val="0"/>
                <w:sz w:val="17"/>
              </w:rPr>
              <w:t>28 Oct 2027</w:t>
            </w:r>
          </w:p>
        </w:tc>
        <w:tc>
          <w:tcPr>
            <w:tcW w:type="dxa" w:w="3216"/>
          </w:tcPr>
          <w:p>
            <w:pPr>
              <w:spacing w:before="40" w:after="40"/>
            </w:pPr>
            <w:r>
              <w:rPr>
                <w:b w:val="0"/>
                <w:i w:val="0"/>
                <w:sz w:val="17"/>
              </w:rPr>
              <w:t>$4,330,000</w:t>
            </w:r>
          </w:p>
        </w:tc>
      </w:tr>
      <w:tr>
        <w:tc>
          <w:tcPr>
            <w:tcW w:type="dxa" w:w="3216"/>
          </w:tcPr>
          <w:p>
            <w:pPr>
              <w:spacing w:before="40" w:after="40"/>
            </w:pPr>
            <w:r>
              <w:rPr>
                <w:b w:val="0"/>
                <w:i w:val="0"/>
                <w:sz w:val="17"/>
              </w:rPr>
              <w:t>Gate 4 — Launch Readiness</w:t>
            </w:r>
          </w:p>
        </w:tc>
        <w:tc>
          <w:tcPr>
            <w:tcW w:type="dxa" w:w="3216"/>
          </w:tcPr>
          <w:p>
            <w:pPr>
              <w:spacing w:before="40" w:after="40"/>
            </w:pPr>
            <w:r>
              <w:rPr>
                <w:b w:val="0"/>
                <w:i w:val="0"/>
                <w:sz w:val="17"/>
              </w:rPr>
              <w:t>24 Feb 2028</w:t>
            </w:r>
          </w:p>
        </w:tc>
        <w:tc>
          <w:tcPr>
            <w:tcW w:type="dxa" w:w="3216"/>
          </w:tcPr>
          <w:p>
            <w:pPr>
              <w:spacing w:before="40" w:after="40"/>
            </w:pPr>
            <w:r>
              <w:rPr>
                <w:b w:val="0"/>
                <w:i w:val="0"/>
                <w:sz w:val="17"/>
              </w:rPr>
              <w:t>No new tranche — authorizes launch</w:t>
            </w:r>
          </w:p>
        </w:tc>
      </w:tr>
      <w:tr>
        <w:tc>
          <w:tcPr>
            <w:tcW w:type="dxa" w:w="3216"/>
          </w:tcPr>
          <w:p>
            <w:pPr>
              <w:spacing w:before="40" w:after="40"/>
            </w:pPr>
            <w:r>
              <w:rPr>
                <w:b/>
                <w:i w:val="0"/>
                <w:sz w:val="17"/>
              </w:rPr>
              <w:t>Launch</w:t>
            </w:r>
          </w:p>
        </w:tc>
        <w:tc>
          <w:tcPr>
            <w:tcW w:type="dxa" w:w="3216"/>
          </w:tcPr>
          <w:p>
            <w:pPr>
              <w:spacing w:before="40" w:after="40"/>
            </w:pPr>
            <w:r>
              <w:rPr>
                <w:b/>
                <w:i w:val="0"/>
                <w:sz w:val="17"/>
              </w:rPr>
              <w:t>06 Mar 2028</w:t>
            </w:r>
          </w:p>
        </w:tc>
        <w:tc>
          <w:tcPr>
            <w:tcW w:type="dxa" w:w="3216"/>
          </w:tcPr>
          <w:p>
            <w:pPr>
              <w:spacing w:before="40" w:after="40"/>
            </w:pPr>
            <w:r>
              <w:rPr>
                <w:b w:val="0"/>
                <w:i w:val="0"/>
                <w:sz w:val="17"/>
              </w:rPr>
              <w:t>—</w:t>
            </w:r>
          </w:p>
        </w:tc>
      </w:tr>
      <w:tr>
        <w:tc>
          <w:tcPr>
            <w:tcW w:type="dxa" w:w="3216"/>
          </w:tcPr>
          <w:p>
            <w:pPr>
              <w:spacing w:before="40" w:after="40"/>
            </w:pPr>
            <w:r>
              <w:rPr>
                <w:b w:val="0"/>
                <w:i w:val="0"/>
                <w:sz w:val="17"/>
              </w:rPr>
              <w:t>Gate 5 — Post-Launch Review</w:t>
            </w:r>
          </w:p>
        </w:tc>
        <w:tc>
          <w:tcPr>
            <w:tcW w:type="dxa" w:w="3216"/>
          </w:tcPr>
          <w:p>
            <w:pPr>
              <w:spacing w:before="40" w:after="40"/>
            </w:pPr>
            <w:r>
              <w:rPr>
                <w:b w:val="0"/>
                <w:i w:val="0"/>
                <w:sz w:val="17"/>
              </w:rPr>
              <w:t>07 Sep 2028</w:t>
            </w:r>
          </w:p>
        </w:tc>
        <w:tc>
          <w:tcPr>
            <w:tcW w:type="dxa" w:w="3216"/>
          </w:tcPr>
          <w:p>
            <w:pPr>
              <w:spacing w:before="40" w:after="40"/>
            </w:pPr>
            <w:r>
              <w:rPr>
                <w:b w:val="0"/>
                <w:i w:val="0"/>
                <w:sz w:val="17"/>
              </w:rPr>
              <w:t>Not an authorization gate</w:t>
            </w:r>
          </w:p>
        </w:tc>
      </w:tr>
    </w:tbl>
    <w:p/>
    <w:p>
      <w:pPr>
        <w:spacing w:after="120"/>
      </w:pPr>
      <w:r>
        <w:rPr>
          <w:b w:val="0"/>
          <w:i w:val="0"/>
          <w:sz w:val="20"/>
        </w:rPr>
        <w:t xml:space="preserve">Full gate mechanics, the two-tier must-meet/should-meet test and the scored record live in the </w:t>
      </w:r>
      <w:r>
        <w:rPr>
          <w:b w:val="0"/>
          <w:i w:val="0"/>
          <w:sz w:val="20"/>
        </w:rPr>
        <w:t>Gate Decision Framework</w:t>
      </w:r>
      <w:r>
        <w:rPr>
          <w:b w:val="0"/>
          <w:i w:val="0"/>
          <w:sz w:val="20"/>
        </w:rPr>
        <w:t xml:space="preserve">. The methodology's lineage and a plain-English explanation of the whole structure live in the </w:t>
      </w:r>
      <w:r>
        <w:rPr>
          <w:b w:val="0"/>
          <w:i w:val="0"/>
          <w:sz w:val="20"/>
        </w:rPr>
        <w:t>Stage-Gate Methodology Guide</w:t>
      </w:r>
      <w:r>
        <w:rPr>
          <w:b w:val="0"/>
          <w:i w:val="0"/>
          <w:sz w:val="20"/>
        </w:rPr>
        <w:t>.</w:t>
      </w:r>
    </w:p>
    <w:p>
      <w:pPr>
        <w:spacing w:before="280" w:after="80"/>
      </w:pPr>
      <w:r>
        <w:rPr>
          <w:b/>
          <w:i w:val="0"/>
          <w:color w:val="14352A"/>
          <w:sz w:val="28"/>
        </w:rPr>
        <w:t>7. Key Deliverables &amp; Milestones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Deliverable</w:t>
            </w:r>
          </w:p>
        </w:tc>
        <w:tc>
          <w:tcPr>
            <w:tcW w:type="dxa" w:w="4824"/>
            <w:shd w:val="clear" w:fill="14352A"/>
          </w:tcPr>
          <w:p>
            <w:pPr>
              <w:spacing w:before="40" w:after="40"/>
            </w:pPr>
            <w:r>
              <w:rPr>
                <w:b/>
                <w:i w:val="0"/>
                <w:color w:val="FFFFFF"/>
                <w:sz w:val="17"/>
              </w:rPr>
              <w:t>Due</w:t>
            </w:r>
          </w:p>
        </w:tc>
      </w:tr>
      <w:tr>
        <w:tc>
          <w:tcPr>
            <w:tcW w:type="dxa" w:w="4824"/>
          </w:tcPr>
          <w:p>
            <w:pPr>
              <w:spacing w:before="40" w:after="40"/>
            </w:pPr>
            <w:r>
              <w:rPr>
                <w:b w:val="0"/>
                <w:i w:val="0"/>
                <w:sz w:val="17"/>
              </w:rPr>
              <w:t>Gate 2 package — development complete, filing readiness demonstrated</w:t>
            </w:r>
          </w:p>
        </w:tc>
        <w:tc>
          <w:tcPr>
            <w:tcW w:type="dxa" w:w="4824"/>
          </w:tcPr>
          <w:p>
            <w:pPr>
              <w:spacing w:before="40" w:after="40"/>
            </w:pPr>
            <w:r>
              <w:rPr>
                <w:b w:val="0"/>
                <w:i w:val="0"/>
                <w:sz w:val="17"/>
              </w:rPr>
              <w:t>01 Apr 2027</w:t>
            </w:r>
          </w:p>
        </w:tc>
      </w:tr>
      <w:tr>
        <w:tc>
          <w:tcPr>
            <w:tcW w:type="dxa" w:w="4824"/>
          </w:tcPr>
          <w:p>
            <w:pPr>
              <w:spacing w:before="40" w:after="40"/>
            </w:pPr>
            <w:r>
              <w:rPr>
                <w:b w:val="0"/>
                <w:i w:val="0"/>
                <w:sz w:val="17"/>
              </w:rPr>
              <w:t>GC-03 — signed external actuarial peer review of GLWB pricing</w:t>
            </w:r>
          </w:p>
        </w:tc>
        <w:tc>
          <w:tcPr>
            <w:tcW w:type="dxa" w:w="4824"/>
          </w:tcPr>
          <w:p>
            <w:pPr>
              <w:spacing w:before="40" w:after="40"/>
            </w:pPr>
            <w:r>
              <w:rPr>
                <w:b w:val="0"/>
                <w:i w:val="0"/>
                <w:sz w:val="17"/>
              </w:rPr>
              <w:t>due before Gate 2</w:t>
            </w:r>
          </w:p>
        </w:tc>
      </w:tr>
      <w:tr>
        <w:tc>
          <w:tcPr>
            <w:tcW w:type="dxa" w:w="4824"/>
          </w:tcPr>
          <w:p>
            <w:pPr>
              <w:spacing w:before="40" w:after="40"/>
            </w:pPr>
            <w:r>
              <w:rPr>
                <w:b w:val="0"/>
                <w:i w:val="0"/>
                <w:sz w:val="17"/>
              </w:rPr>
              <w:t>GC-05 — hedging readiness plan with dated ISDA milestones</w:t>
            </w:r>
          </w:p>
        </w:tc>
        <w:tc>
          <w:tcPr>
            <w:tcW w:type="dxa" w:w="4824"/>
          </w:tcPr>
          <w:p>
            <w:pPr>
              <w:spacing w:before="40" w:after="40"/>
            </w:pPr>
            <w:r>
              <w:rPr>
                <w:b w:val="0"/>
                <w:i w:val="0"/>
                <w:sz w:val="17"/>
              </w:rPr>
              <w:t>due before Gate 2</w:t>
            </w:r>
          </w:p>
        </w:tc>
      </w:tr>
      <w:tr>
        <w:tc>
          <w:tcPr>
            <w:tcW w:type="dxa" w:w="4824"/>
          </w:tcPr>
          <w:p>
            <w:pPr>
              <w:spacing w:before="40" w:after="40"/>
            </w:pPr>
            <w:r>
              <w:rPr>
                <w:b w:val="0"/>
                <w:i w:val="0"/>
                <w:sz w:val="17"/>
              </w:rPr>
              <w:t>Compact and non-Compact regulatory filings submitted</w:t>
            </w:r>
          </w:p>
        </w:tc>
        <w:tc>
          <w:tcPr>
            <w:tcW w:type="dxa" w:w="4824"/>
          </w:tcPr>
          <w:p>
            <w:pPr>
              <w:spacing w:before="40" w:after="40"/>
            </w:pPr>
            <w:r>
              <w:rPr>
                <w:b w:val="0"/>
                <w:i w:val="0"/>
                <w:sz w:val="17"/>
              </w:rPr>
              <w:t>Stage 3</w:t>
            </w:r>
          </w:p>
        </w:tc>
      </w:tr>
      <w:tr>
        <w:tc>
          <w:tcPr>
            <w:tcW w:type="dxa" w:w="4824"/>
          </w:tcPr>
          <w:p>
            <w:pPr>
              <w:spacing w:before="40" w:after="40"/>
            </w:pPr>
            <w:r>
              <w:rPr>
                <w:b w:val="0"/>
                <w:i w:val="0"/>
                <w:sz w:val="17"/>
              </w:rPr>
              <w:t>Gate 3 package — validation complete, filing approval in hand or scheduled</w:t>
            </w:r>
          </w:p>
        </w:tc>
        <w:tc>
          <w:tcPr>
            <w:tcW w:type="dxa" w:w="4824"/>
          </w:tcPr>
          <w:p>
            <w:pPr>
              <w:spacing w:before="40" w:after="40"/>
            </w:pPr>
            <w:r>
              <w:rPr>
                <w:b w:val="0"/>
                <w:i w:val="0"/>
                <w:sz w:val="17"/>
              </w:rPr>
              <w:t>28 Oct 2027</w:t>
            </w:r>
          </w:p>
        </w:tc>
      </w:tr>
      <w:tr>
        <w:tc>
          <w:tcPr>
            <w:tcW w:type="dxa" w:w="4824"/>
          </w:tcPr>
          <w:p>
            <w:pPr>
              <w:spacing w:before="40" w:after="40"/>
            </w:pPr>
            <w:r>
              <w:rPr>
                <w:b w:val="0"/>
                <w:i w:val="0"/>
                <w:sz w:val="17"/>
              </w:rPr>
              <w:t>Gate 4 package — launch readiness across distribution, operations and hedging</w:t>
            </w:r>
          </w:p>
        </w:tc>
        <w:tc>
          <w:tcPr>
            <w:tcW w:type="dxa" w:w="4824"/>
          </w:tcPr>
          <w:p>
            <w:pPr>
              <w:spacing w:before="40" w:after="40"/>
            </w:pPr>
            <w:r>
              <w:rPr>
                <w:b w:val="0"/>
                <w:i w:val="0"/>
                <w:sz w:val="17"/>
              </w:rPr>
              <w:t>24 Feb 2028</w:t>
            </w:r>
          </w:p>
        </w:tc>
      </w:tr>
      <w:tr>
        <w:tc>
          <w:tcPr>
            <w:tcW w:type="dxa" w:w="4824"/>
          </w:tcPr>
          <w:p>
            <w:pPr>
              <w:spacing w:before="40" w:after="40"/>
            </w:pPr>
            <w:r>
              <w:rPr>
                <w:b w:val="0"/>
                <w:i w:val="0"/>
                <w:sz w:val="17"/>
              </w:rPr>
              <w:t>First policy issued</w:t>
            </w:r>
          </w:p>
        </w:tc>
        <w:tc>
          <w:tcPr>
            <w:tcW w:type="dxa" w:w="4824"/>
          </w:tcPr>
          <w:p>
            <w:pPr>
              <w:spacing w:before="40" w:after="40"/>
            </w:pPr>
            <w:r>
              <w:rPr>
                <w:b w:val="0"/>
                <w:i w:val="0"/>
                <w:sz w:val="17"/>
              </w:rPr>
              <w:t>06 Mar 2028</w:t>
            </w:r>
          </w:p>
        </w:tc>
      </w:tr>
      <w:tr>
        <w:tc>
          <w:tcPr>
            <w:tcW w:type="dxa" w:w="4824"/>
          </w:tcPr>
          <w:p>
            <w:pPr>
              <w:spacing w:before="40" w:after="40"/>
            </w:pPr>
            <w:r>
              <w:rPr>
                <w:b w:val="0"/>
                <w:i w:val="0"/>
                <w:sz w:val="17"/>
              </w:rPr>
              <w:t>Gate 5 post-launch review, actuals against the Gate 1 forecast</w:t>
            </w:r>
          </w:p>
        </w:tc>
        <w:tc>
          <w:tcPr>
            <w:tcW w:type="dxa" w:w="4824"/>
          </w:tcPr>
          <w:p>
            <w:pPr>
              <w:spacing w:before="40" w:after="40"/>
            </w:pPr>
            <w:r>
              <w:rPr>
                <w:b w:val="0"/>
                <w:i w:val="0"/>
                <w:sz w:val="17"/>
              </w:rPr>
              <w:t>07 Sep 2028</w:t>
            </w:r>
          </w:p>
        </w:tc>
      </w:tr>
    </w:tbl>
    <w:p/>
    <w:p>
      <w:pPr>
        <w:spacing w:before="280" w:after="80"/>
      </w:pPr>
      <w:r>
        <w:rPr>
          <w:b/>
          <w:i w:val="0"/>
          <w:color w:val="14352A"/>
          <w:sz w:val="28"/>
        </w:rPr>
        <w:t>8. Governance Structure &amp; Decision Rights</w:t>
      </w:r>
    </w:p>
    <w:p>
      <w:pPr>
        <w:spacing w:after="120"/>
      </w:pPr>
      <w:r>
        <w:rPr>
          <w:b w:val="0"/>
          <w:i w:val="0"/>
          <w:sz w:val="20"/>
        </w:rPr>
        <w:t xml:space="preserve">A six-seat Gate Review Board holds five votes and decides every gate outcome. The Chair facilitates, certifies evidence quality, and does not vote — the person accountable for the program's progress is not the person who decides whether it continues (Decision </w:t>
      </w:r>
      <w:r>
        <w:rPr>
          <w:b/>
          <w:i w:val="0"/>
          <w:sz w:val="20"/>
        </w:rPr>
        <w:t>D-11</w:t>
      </w:r>
      <w:r>
        <w:rPr>
          <w:b w:val="0"/>
          <w:i w:val="0"/>
          <w:sz w:val="20"/>
        </w:rPr>
        <w: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Person</w:t>
            </w:r>
          </w:p>
        </w:tc>
        <w:tc>
          <w:tcPr>
            <w:tcW w:type="dxa" w:w="3216"/>
            <w:shd w:val="clear" w:fill="14352A"/>
          </w:tcPr>
          <w:p>
            <w:pPr>
              <w:spacing w:before="40" w:after="40"/>
            </w:pPr>
            <w:r>
              <w:rPr>
                <w:b/>
                <w:i w:val="0"/>
                <w:color w:val="FFFFFF"/>
                <w:sz w:val="17"/>
              </w:rPr>
              <w:t>Seat</w:t>
            </w:r>
          </w:p>
        </w:tc>
        <w:tc>
          <w:tcPr>
            <w:tcW w:type="dxa" w:w="3216"/>
            <w:shd w:val="clear" w:fill="14352A"/>
          </w:tcPr>
          <w:p>
            <w:pPr>
              <w:spacing w:before="40" w:after="40"/>
            </w:pPr>
            <w:r>
              <w:rPr>
                <w:b/>
                <w:i w:val="0"/>
                <w:color w:val="FFFFFF"/>
                <w:sz w:val="17"/>
              </w:rPr>
              <w:t>Vote</w:t>
            </w:r>
          </w:p>
        </w:tc>
      </w:tr>
      <w:tr>
        <w:tc>
          <w:tcPr>
            <w:tcW w:type="dxa" w:w="3216"/>
          </w:tcPr>
          <w:p>
            <w:pPr>
              <w:spacing w:before="40" w:after="40"/>
            </w:pPr>
            <w:r>
              <w:rPr>
                <w:b/>
                <w:i w:val="0"/>
                <w:sz w:val="17"/>
              </w:rPr>
              <w:t>C. Tyrrell</w:t>
            </w:r>
          </w:p>
        </w:tc>
        <w:tc>
          <w:tcPr>
            <w:tcW w:type="dxa" w:w="3216"/>
          </w:tcPr>
          <w:p>
            <w:pPr>
              <w:spacing w:before="40" w:after="40"/>
            </w:pPr>
            <w:r>
              <w:rPr>
                <w:b w:val="0"/>
                <w:i w:val="0"/>
                <w:sz w:val="17"/>
              </w:rPr>
              <w:t>NPD Program Manager — Chair, seated from the PMO</w:t>
            </w:r>
          </w:p>
        </w:tc>
        <w:tc>
          <w:tcPr>
            <w:tcW w:type="dxa" w:w="3216"/>
          </w:tcPr>
          <w:p>
            <w:pPr>
              <w:spacing w:before="40" w:after="40"/>
            </w:pPr>
            <w:r>
              <w:rPr>
                <w:b w:val="0"/>
                <w:i w:val="0"/>
                <w:sz w:val="17"/>
              </w:rPr>
              <w:t>No vote</w:t>
            </w:r>
          </w:p>
        </w:tc>
      </w:tr>
      <w:tr>
        <w:tc>
          <w:tcPr>
            <w:tcW w:type="dxa" w:w="3216"/>
          </w:tcPr>
          <w:p>
            <w:pPr>
              <w:spacing w:before="40" w:after="40"/>
            </w:pPr>
            <w:r>
              <w:rPr>
                <w:b/>
                <w:i w:val="0"/>
                <w:sz w:val="17"/>
              </w:rPr>
              <w:t>G. Marchetti</w:t>
            </w:r>
          </w:p>
        </w:tc>
        <w:tc>
          <w:tcPr>
            <w:tcW w:type="dxa" w:w="3216"/>
          </w:tcPr>
          <w:p>
            <w:pPr>
              <w:spacing w:before="40" w:after="40"/>
            </w:pPr>
            <w:r>
              <w:rPr>
                <w:b w:val="0"/>
                <w:i w:val="0"/>
                <w:sz w:val="17"/>
              </w:rPr>
              <w:t>Chief Product Officer — Executive Sponsor</w:t>
            </w:r>
          </w:p>
        </w:tc>
        <w:tc>
          <w:tcPr>
            <w:tcW w:type="dxa" w:w="3216"/>
          </w:tcPr>
          <w:p>
            <w:pPr>
              <w:spacing w:before="40" w:after="40"/>
            </w:pPr>
            <w:r>
              <w:rPr>
                <w:b w:val="0"/>
                <w:i w:val="0"/>
                <w:sz w:val="17"/>
              </w:rPr>
              <w:t>Voting</w:t>
            </w:r>
          </w:p>
        </w:tc>
      </w:tr>
      <w:tr>
        <w:tc>
          <w:tcPr>
            <w:tcW w:type="dxa" w:w="3216"/>
          </w:tcPr>
          <w:p>
            <w:pPr>
              <w:spacing w:before="40" w:after="40"/>
            </w:pPr>
            <w:r>
              <w:rPr>
                <w:b/>
                <w:i w:val="0"/>
                <w:sz w:val="17"/>
              </w:rPr>
              <w:t>N. Adeyemi</w:t>
            </w:r>
          </w:p>
        </w:tc>
        <w:tc>
          <w:tcPr>
            <w:tcW w:type="dxa" w:w="3216"/>
          </w:tcPr>
          <w:p>
            <w:pPr>
              <w:spacing w:before="40" w:after="40"/>
            </w:pPr>
            <w:r>
              <w:rPr>
                <w:b w:val="0"/>
                <w:i w:val="0"/>
                <w:sz w:val="17"/>
              </w:rPr>
              <w:t>Chief Actuary</w:t>
            </w:r>
          </w:p>
        </w:tc>
        <w:tc>
          <w:tcPr>
            <w:tcW w:type="dxa" w:w="3216"/>
          </w:tcPr>
          <w:p>
            <w:pPr>
              <w:spacing w:before="40" w:after="40"/>
            </w:pPr>
            <w:r>
              <w:rPr>
                <w:b w:val="0"/>
                <w:i w:val="0"/>
                <w:sz w:val="17"/>
              </w:rPr>
              <w:t>Voting</w:t>
            </w:r>
          </w:p>
        </w:tc>
      </w:tr>
      <w:tr>
        <w:tc>
          <w:tcPr>
            <w:tcW w:type="dxa" w:w="3216"/>
          </w:tcPr>
          <w:p>
            <w:pPr>
              <w:spacing w:before="40" w:after="40"/>
            </w:pPr>
            <w:r>
              <w:rPr>
                <w:b/>
                <w:i w:val="0"/>
                <w:sz w:val="17"/>
              </w:rPr>
              <w:t>B. Lindqvist</w:t>
            </w:r>
          </w:p>
        </w:tc>
        <w:tc>
          <w:tcPr>
            <w:tcW w:type="dxa" w:w="3216"/>
          </w:tcPr>
          <w:p>
            <w:pPr>
              <w:spacing w:before="40" w:after="40"/>
            </w:pPr>
            <w:r>
              <w:rPr>
                <w:b w:val="0"/>
                <w:i w:val="0"/>
                <w:sz w:val="17"/>
              </w:rPr>
              <w:t>General Counsel &amp; Chief Compliance Officer</w:t>
            </w:r>
          </w:p>
        </w:tc>
        <w:tc>
          <w:tcPr>
            <w:tcW w:type="dxa" w:w="3216"/>
          </w:tcPr>
          <w:p>
            <w:pPr>
              <w:spacing w:before="40" w:after="40"/>
            </w:pPr>
            <w:r>
              <w:rPr>
                <w:b w:val="0"/>
                <w:i w:val="0"/>
                <w:sz w:val="17"/>
              </w:rPr>
              <w:t>Voting</w:t>
            </w:r>
          </w:p>
        </w:tc>
      </w:tr>
      <w:tr>
        <w:tc>
          <w:tcPr>
            <w:tcW w:type="dxa" w:w="3216"/>
          </w:tcPr>
          <w:p>
            <w:pPr>
              <w:spacing w:before="40" w:after="40"/>
            </w:pPr>
            <w:r>
              <w:rPr>
                <w:b/>
                <w:i w:val="0"/>
                <w:sz w:val="17"/>
              </w:rPr>
              <w:t>R. Castellanos</w:t>
            </w:r>
          </w:p>
        </w:tc>
        <w:tc>
          <w:tcPr>
            <w:tcW w:type="dxa" w:w="3216"/>
          </w:tcPr>
          <w:p>
            <w:pPr>
              <w:spacing w:before="40" w:after="40"/>
            </w:pPr>
            <w:r>
              <w:rPr>
                <w:b w:val="0"/>
                <w:i w:val="0"/>
                <w:sz w:val="17"/>
              </w:rPr>
              <w:t>Head of Distribution</w:t>
            </w:r>
          </w:p>
        </w:tc>
        <w:tc>
          <w:tcPr>
            <w:tcW w:type="dxa" w:w="3216"/>
          </w:tcPr>
          <w:p>
            <w:pPr>
              <w:spacing w:before="40" w:after="40"/>
            </w:pPr>
            <w:r>
              <w:rPr>
                <w:b w:val="0"/>
                <w:i w:val="0"/>
                <w:sz w:val="17"/>
              </w:rPr>
              <w:t>Voting</w:t>
            </w:r>
          </w:p>
        </w:tc>
      </w:tr>
      <w:tr>
        <w:tc>
          <w:tcPr>
            <w:tcW w:type="dxa" w:w="3216"/>
          </w:tcPr>
          <w:p>
            <w:pPr>
              <w:spacing w:before="40" w:after="40"/>
            </w:pPr>
            <w:r>
              <w:rPr>
                <w:b/>
                <w:i w:val="0"/>
                <w:sz w:val="17"/>
              </w:rPr>
              <w:t>J. Whitmore</w:t>
            </w:r>
          </w:p>
        </w:tc>
        <w:tc>
          <w:tcPr>
            <w:tcW w:type="dxa" w:w="3216"/>
          </w:tcPr>
          <w:p>
            <w:pPr>
              <w:spacing w:before="40" w:after="40"/>
            </w:pPr>
            <w:r>
              <w:rPr>
                <w:b w:val="0"/>
                <w:i w:val="0"/>
                <w:sz w:val="17"/>
              </w:rPr>
              <w:t>Chief Financial Officer</w:t>
            </w:r>
          </w:p>
        </w:tc>
        <w:tc>
          <w:tcPr>
            <w:tcW w:type="dxa" w:w="3216"/>
          </w:tcPr>
          <w:p>
            <w:pPr>
              <w:spacing w:before="40" w:after="40"/>
            </w:pPr>
            <w:r>
              <w:rPr>
                <w:b w:val="0"/>
                <w:i w:val="0"/>
                <w:sz w:val="17"/>
              </w:rPr>
              <w:t>Voting</w:t>
            </w:r>
          </w:p>
        </w:tc>
      </w:tr>
      <w:tr>
        <w:tc>
          <w:tcPr>
            <w:tcW w:type="dxa" w:w="3216"/>
          </w:tcPr>
          <w:p>
            <w:pPr>
              <w:spacing w:before="40" w:after="40"/>
            </w:pPr>
            <w:r>
              <w:rPr>
                <w:b/>
                <w:i w:val="0"/>
                <w:sz w:val="17"/>
              </w:rPr>
              <w:t>D. Pemberton</w:t>
            </w:r>
          </w:p>
        </w:tc>
        <w:tc>
          <w:tcPr>
            <w:tcW w:type="dxa" w:w="3216"/>
          </w:tcPr>
          <w:p>
            <w:pPr>
              <w:spacing w:before="40" w:after="40"/>
            </w:pPr>
            <w:r>
              <w:rPr>
                <w:b w:val="0"/>
                <w:i w:val="0"/>
                <w:sz w:val="17"/>
              </w:rPr>
              <w:t>Chief Risk Officer</w:t>
            </w:r>
          </w:p>
        </w:tc>
        <w:tc>
          <w:tcPr>
            <w:tcW w:type="dxa" w:w="3216"/>
          </w:tcPr>
          <w:p>
            <w:pPr>
              <w:spacing w:before="40" w:after="40"/>
            </w:pPr>
            <w:r>
              <w:rPr>
                <w:b w:val="0"/>
                <w:i w:val="0"/>
                <w:sz w:val="17"/>
              </w:rPr>
              <w:t>Observer, no vote</w:t>
            </w:r>
          </w:p>
        </w:tc>
      </w:tr>
    </w:tbl>
    <w:p/>
    <w:p>
      <w:pPr>
        <w:spacing w:after="120"/>
      </w:pPr>
      <w:r>
        <w:rPr>
          <w:b w:val="0"/>
          <w:i w:val="0"/>
          <w:sz w:val="20"/>
        </w:rPr>
        <w:t xml:space="preserve">Full mandate, quorum rules, conflict-of-interest handling and the five defined gate outcomes are set out in the </w:t>
      </w:r>
      <w:r>
        <w:rPr>
          <w:b w:val="0"/>
          <w:i w:val="0"/>
          <w:sz w:val="20"/>
        </w:rPr>
        <w:t>Stage-Gate Governance Model &amp; Gate Review Board Charter</w:t>
      </w:r>
      <w:r>
        <w:rPr>
          <w:b w:val="0"/>
          <w:i w:val="0"/>
          <w:sz w:val="20"/>
        </w:rPr>
        <w:t xml:space="preserve"> — the governing instrument this charter operates under, not a duplicate of it.</w:t>
      </w:r>
    </w:p>
    <w:p>
      <w:pPr>
        <w:spacing w:before="280" w:after="80"/>
      </w:pPr>
      <w:r>
        <w:rPr>
          <w:b/>
          <w:i w:val="0"/>
          <w:color w:val="14352A"/>
          <w:sz w:val="28"/>
        </w:rPr>
        <w:t>9. Chair Authority &amp; Limitations</w:t>
      </w:r>
    </w:p>
    <w:p>
      <w:pPr>
        <w:spacing w:after="120"/>
      </w:pPr>
      <w:r>
        <w:rPr>
          <w:b w:val="0"/>
          <w:i w:val="0"/>
          <w:sz w:val="20"/>
        </w:rPr>
        <w:t xml:space="preserve">The Chair sets the gate agenda, certifies that evidence tabled meets the standard recorded at issue, verifies and closes Gate Conditions against their recorded verification method, and maintains the </w:t>
      </w:r>
      <w:r>
        <w:rPr>
          <w:b w:val="0"/>
          <w:i w:val="0"/>
          <w:sz w:val="20"/>
        </w:rPr>
        <w:t>Gate 2 Readiness Assessment</w:t>
      </w:r>
      <w:r>
        <w:rPr>
          <w:b w:val="0"/>
          <w:i w:val="0"/>
          <w:sz w:val="20"/>
        </w:rPr>
        <w:t xml:space="preserve"> and the Gate Conditions Register between gates. The Chair does </w:t>
      </w:r>
      <w:r>
        <w:rPr>
          <w:b/>
          <w:i w:val="0"/>
          <w:sz w:val="20"/>
        </w:rPr>
        <w:t>not</w:t>
      </w:r>
      <w:r>
        <w:rPr>
          <w:b w:val="0"/>
          <w:i w:val="0"/>
          <w:sz w:val="20"/>
        </w:rPr>
        <w:t>: vote on a gate outcome, close a condition the Chair owns personally, renegotiate a verification method after issue, or authorize spend beyond the tranche a gate has released. Any of the above requires a Board decision, minuted.</w:t>
      </w:r>
    </w:p>
    <w:p>
      <w:pPr>
        <w:spacing w:before="280" w:after="80"/>
      </w:pPr>
      <w:r>
        <w:rPr>
          <w:b/>
          <w:i w:val="0"/>
          <w:color w:val="14352A"/>
          <w:sz w:val="28"/>
        </w:rPr>
        <w:t>10. Organizational Structure &amp; Roster</w:t>
      </w:r>
    </w:p>
    <w:p>
      <w:pPr>
        <w:spacing w:after="120"/>
      </w:pPr>
      <w:r>
        <w:rPr>
          <w:b w:val="0"/>
          <w:i w:val="0"/>
          <w:sz w:val="20"/>
        </w:rPr>
        <w:t xml:space="preserve">Life-of-program headcount is </w:t>
      </w:r>
      <w:r>
        <w:rPr>
          <w:b/>
          <w:i w:val="0"/>
          <w:sz w:val="20"/>
        </w:rPr>
        <w:t>90 people</w:t>
      </w:r>
      <w:r>
        <w:rPr>
          <w:b w:val="0"/>
          <w:i w:val="0"/>
          <w:sz w:val="20"/>
        </w:rPr>
        <w:t xml:space="preserve"> across fifteen functional teams, ramping by stage, totaling </w:t>
      </w:r>
      <w:r>
        <w:rPr>
          <w:b/>
          <w:i w:val="0"/>
          <w:sz w:val="20"/>
        </w:rPr>
        <w:t>146,440 hours</w:t>
      </w:r>
      <w:r>
        <w:rPr>
          <w:b w:val="0"/>
          <w:i w:val="0"/>
          <w:sz w:val="20"/>
        </w:rPr>
        <w:t>. The six-seat Gate Review Board is oversight only and carries no WBS assignments, leaving a working pool of 84.</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Team</w:t>
            </w:r>
          </w:p>
        </w:tc>
        <w:tc>
          <w:tcPr>
            <w:tcW w:type="dxa" w:w="3216"/>
            <w:shd w:val="clear" w:fill="14352A"/>
          </w:tcPr>
          <w:p>
            <w:pPr>
              <w:spacing w:before="40" w:after="40"/>
            </w:pPr>
            <w:r>
              <w:rPr>
                <w:b/>
                <w:i w:val="0"/>
                <w:color w:val="FFFFFF"/>
                <w:sz w:val="17"/>
              </w:rPr>
              <w:t>Headcount</w:t>
            </w:r>
          </w:p>
        </w:tc>
        <w:tc>
          <w:tcPr>
            <w:tcW w:type="dxa" w:w="3216"/>
            <w:shd w:val="clear" w:fill="14352A"/>
          </w:tcPr>
          <w:p>
            <w:pPr>
              <w:spacing w:before="40" w:after="40"/>
            </w:pPr>
            <w:r>
              <w:rPr>
                <w:b/>
                <w:i w:val="0"/>
                <w:color w:val="FFFFFF"/>
                <w:sz w:val="17"/>
              </w:rPr>
              <w:t>Hours</w:t>
            </w:r>
          </w:p>
        </w:tc>
      </w:tr>
      <w:tr>
        <w:tc>
          <w:tcPr>
            <w:tcW w:type="dxa" w:w="3216"/>
          </w:tcPr>
          <w:p>
            <w:pPr>
              <w:spacing w:before="40" w:after="40"/>
            </w:pPr>
            <w:r>
              <w:rPr>
                <w:b w:val="0"/>
                <w:i w:val="0"/>
                <w:sz w:val="17"/>
              </w:rPr>
              <w:t>IT - Annuity Administration Platform</w:t>
            </w:r>
          </w:p>
        </w:tc>
        <w:tc>
          <w:tcPr>
            <w:tcW w:type="dxa" w:w="3216"/>
          </w:tcPr>
          <w:p>
            <w:pPr>
              <w:spacing w:before="40" w:after="40"/>
            </w:pPr>
            <w:r>
              <w:rPr>
                <w:b w:val="0"/>
                <w:i w:val="0"/>
                <w:sz w:val="17"/>
              </w:rPr>
              <w:t>10</w:t>
            </w:r>
          </w:p>
        </w:tc>
        <w:tc>
          <w:tcPr>
            <w:tcW w:type="dxa" w:w="3216"/>
          </w:tcPr>
          <w:p>
            <w:pPr>
              <w:spacing w:before="40" w:after="40"/>
            </w:pPr>
            <w:r>
              <w:rPr>
                <w:b w:val="0"/>
                <w:i w:val="0"/>
                <w:sz w:val="17"/>
              </w:rPr>
              <w:t>22,400</w:t>
            </w:r>
          </w:p>
        </w:tc>
      </w:tr>
      <w:tr>
        <w:tc>
          <w:tcPr>
            <w:tcW w:type="dxa" w:w="3216"/>
          </w:tcPr>
          <w:p>
            <w:pPr>
              <w:spacing w:before="40" w:after="40"/>
            </w:pPr>
            <w:r>
              <w:rPr>
                <w:b w:val="0"/>
                <w:i w:val="0"/>
                <w:sz w:val="17"/>
              </w:rPr>
              <w:t>Product Management &amp; Design</w:t>
            </w:r>
          </w:p>
        </w:tc>
        <w:tc>
          <w:tcPr>
            <w:tcW w:type="dxa" w:w="3216"/>
          </w:tcPr>
          <w:p>
            <w:pPr>
              <w:spacing w:before="40" w:after="40"/>
            </w:pPr>
            <w:r>
              <w:rPr>
                <w:b w:val="0"/>
                <w:i w:val="0"/>
                <w:sz w:val="17"/>
              </w:rPr>
              <w:t>7</w:t>
            </w:r>
          </w:p>
        </w:tc>
        <w:tc>
          <w:tcPr>
            <w:tcW w:type="dxa" w:w="3216"/>
          </w:tcPr>
          <w:p>
            <w:pPr>
              <w:spacing w:before="40" w:after="40"/>
            </w:pPr>
            <w:r>
              <w:rPr>
                <w:b w:val="0"/>
                <w:i w:val="0"/>
                <w:sz w:val="17"/>
              </w:rPr>
              <w:t>14,800</w:t>
            </w:r>
          </w:p>
        </w:tc>
      </w:tr>
      <w:tr>
        <w:tc>
          <w:tcPr>
            <w:tcW w:type="dxa" w:w="3216"/>
          </w:tcPr>
          <w:p>
            <w:pPr>
              <w:spacing w:before="40" w:after="40"/>
            </w:pPr>
            <w:r>
              <w:rPr>
                <w:b w:val="0"/>
                <w:i w:val="0"/>
                <w:sz w:val="17"/>
              </w:rPr>
              <w:t>Actuarial - Pricing &amp; Product Development</w:t>
            </w:r>
          </w:p>
        </w:tc>
        <w:tc>
          <w:tcPr>
            <w:tcW w:type="dxa" w:w="3216"/>
          </w:tcPr>
          <w:p>
            <w:pPr>
              <w:spacing w:before="40" w:after="40"/>
            </w:pPr>
            <w:r>
              <w:rPr>
                <w:b w:val="0"/>
                <w:i w:val="0"/>
                <w:sz w:val="17"/>
              </w:rPr>
              <w:t>7</w:t>
            </w:r>
          </w:p>
        </w:tc>
        <w:tc>
          <w:tcPr>
            <w:tcW w:type="dxa" w:w="3216"/>
          </w:tcPr>
          <w:p>
            <w:pPr>
              <w:spacing w:before="40" w:after="40"/>
            </w:pPr>
            <w:r>
              <w:rPr>
                <w:b w:val="0"/>
                <w:i w:val="0"/>
                <w:sz w:val="17"/>
              </w:rPr>
              <w:t>13,600</w:t>
            </w:r>
          </w:p>
        </w:tc>
      </w:tr>
      <w:tr>
        <w:tc>
          <w:tcPr>
            <w:tcW w:type="dxa" w:w="3216"/>
          </w:tcPr>
          <w:p>
            <w:pPr>
              <w:spacing w:before="40" w:after="40"/>
            </w:pPr>
            <w:r>
              <w:rPr>
                <w:b w:val="0"/>
                <w:i w:val="0"/>
                <w:sz w:val="17"/>
              </w:rPr>
              <w:t>Operations - New Business &amp; Policyholder Services</w:t>
            </w:r>
          </w:p>
        </w:tc>
        <w:tc>
          <w:tcPr>
            <w:tcW w:type="dxa" w:w="3216"/>
          </w:tcPr>
          <w:p>
            <w:pPr>
              <w:spacing w:before="40" w:after="40"/>
            </w:pPr>
            <w:r>
              <w:rPr>
                <w:b w:val="0"/>
                <w:i w:val="0"/>
                <w:sz w:val="17"/>
              </w:rPr>
              <w:t>7</w:t>
            </w:r>
          </w:p>
        </w:tc>
        <w:tc>
          <w:tcPr>
            <w:tcW w:type="dxa" w:w="3216"/>
          </w:tcPr>
          <w:p>
            <w:pPr>
              <w:spacing w:before="40" w:after="40"/>
            </w:pPr>
            <w:r>
              <w:rPr>
                <w:b w:val="0"/>
                <w:i w:val="0"/>
                <w:sz w:val="17"/>
              </w:rPr>
              <w:t>10,200</w:t>
            </w:r>
          </w:p>
        </w:tc>
      </w:tr>
      <w:tr>
        <w:tc>
          <w:tcPr>
            <w:tcW w:type="dxa" w:w="3216"/>
          </w:tcPr>
          <w:p>
            <w:pPr>
              <w:spacing w:before="40" w:after="40"/>
            </w:pPr>
            <w:r>
              <w:rPr>
                <w:b w:val="0"/>
                <w:i w:val="0"/>
                <w:sz w:val="17"/>
              </w:rPr>
              <w:t>Product Development PMO</w:t>
            </w:r>
          </w:p>
        </w:tc>
        <w:tc>
          <w:tcPr>
            <w:tcW w:type="dxa" w:w="3216"/>
          </w:tcPr>
          <w:p>
            <w:pPr>
              <w:spacing w:before="40" w:after="40"/>
            </w:pPr>
            <w:r>
              <w:rPr>
                <w:b w:val="0"/>
                <w:i w:val="0"/>
                <w:sz w:val="17"/>
              </w:rPr>
              <w:t>6</w:t>
            </w:r>
          </w:p>
        </w:tc>
        <w:tc>
          <w:tcPr>
            <w:tcW w:type="dxa" w:w="3216"/>
          </w:tcPr>
          <w:p>
            <w:pPr>
              <w:spacing w:before="40" w:after="40"/>
            </w:pPr>
            <w:r>
              <w:rPr>
                <w:b w:val="0"/>
                <w:i w:val="0"/>
                <w:sz w:val="17"/>
              </w:rPr>
              <w:t>18,400</w:t>
            </w:r>
          </w:p>
        </w:tc>
      </w:tr>
      <w:tr>
        <w:tc>
          <w:tcPr>
            <w:tcW w:type="dxa" w:w="3216"/>
          </w:tcPr>
          <w:p>
            <w:pPr>
              <w:spacing w:before="40" w:after="40"/>
            </w:pPr>
            <w:r>
              <w:rPr>
                <w:b w:val="0"/>
                <w:i w:val="0"/>
                <w:sz w:val="17"/>
              </w:rPr>
              <w:t>Actuarial - Valuation &amp; Financial Reporting</w:t>
            </w:r>
          </w:p>
        </w:tc>
        <w:tc>
          <w:tcPr>
            <w:tcW w:type="dxa" w:w="3216"/>
          </w:tcPr>
          <w:p>
            <w:pPr>
              <w:spacing w:before="40" w:after="40"/>
            </w:pPr>
            <w:r>
              <w:rPr>
                <w:b w:val="0"/>
                <w:i w:val="0"/>
                <w:sz w:val="17"/>
              </w:rPr>
              <w:t>6</w:t>
            </w:r>
          </w:p>
        </w:tc>
        <w:tc>
          <w:tcPr>
            <w:tcW w:type="dxa" w:w="3216"/>
          </w:tcPr>
          <w:p>
            <w:pPr>
              <w:spacing w:before="40" w:after="40"/>
            </w:pPr>
            <w:r>
              <w:rPr>
                <w:b w:val="0"/>
                <w:i w:val="0"/>
                <w:sz w:val="17"/>
              </w:rPr>
              <w:t>7,200</w:t>
            </w:r>
          </w:p>
        </w:tc>
      </w:tr>
      <w:tr>
        <w:tc>
          <w:tcPr>
            <w:tcW w:type="dxa" w:w="3216"/>
          </w:tcPr>
          <w:p>
            <w:pPr>
              <w:spacing w:before="40" w:after="40"/>
            </w:pPr>
            <w:r>
              <w:rPr>
                <w:b w:val="0"/>
                <w:i w:val="0"/>
                <w:sz w:val="17"/>
              </w:rPr>
              <w:t>Investments - ALM &amp; Hedging</w:t>
            </w:r>
          </w:p>
        </w:tc>
        <w:tc>
          <w:tcPr>
            <w:tcW w:type="dxa" w:w="3216"/>
          </w:tcPr>
          <w:p>
            <w:pPr>
              <w:spacing w:before="40" w:after="40"/>
            </w:pPr>
            <w:r>
              <w:rPr>
                <w:b w:val="0"/>
                <w:i w:val="0"/>
                <w:sz w:val="17"/>
              </w:rPr>
              <w:t>6</w:t>
            </w:r>
          </w:p>
        </w:tc>
        <w:tc>
          <w:tcPr>
            <w:tcW w:type="dxa" w:w="3216"/>
          </w:tcPr>
          <w:p>
            <w:pPr>
              <w:spacing w:before="40" w:after="40"/>
            </w:pPr>
            <w:r>
              <w:rPr>
                <w:b w:val="0"/>
                <w:i w:val="0"/>
                <w:sz w:val="17"/>
              </w:rPr>
              <w:t>6,800</w:t>
            </w:r>
          </w:p>
        </w:tc>
      </w:tr>
      <w:tr>
        <w:tc>
          <w:tcPr>
            <w:tcW w:type="dxa" w:w="3216"/>
          </w:tcPr>
          <w:p>
            <w:pPr>
              <w:spacing w:before="40" w:after="40"/>
            </w:pPr>
            <w:r>
              <w:rPr>
                <w:b w:val="0"/>
                <w:i w:val="0"/>
                <w:sz w:val="17"/>
              </w:rPr>
              <w:t>Legal &amp; Compliance</w:t>
            </w:r>
          </w:p>
        </w:tc>
        <w:tc>
          <w:tcPr>
            <w:tcW w:type="dxa" w:w="3216"/>
          </w:tcPr>
          <w:p>
            <w:pPr>
              <w:spacing w:before="40" w:after="40"/>
            </w:pPr>
            <w:r>
              <w:rPr>
                <w:b w:val="0"/>
                <w:i w:val="0"/>
                <w:sz w:val="17"/>
              </w:rPr>
              <w:t>6</w:t>
            </w:r>
          </w:p>
        </w:tc>
        <w:tc>
          <w:tcPr>
            <w:tcW w:type="dxa" w:w="3216"/>
          </w:tcPr>
          <w:p>
            <w:pPr>
              <w:spacing w:before="40" w:after="40"/>
            </w:pPr>
            <w:r>
              <w:rPr>
                <w:b w:val="0"/>
                <w:i w:val="0"/>
                <w:sz w:val="17"/>
              </w:rPr>
              <w:t>7,400</w:t>
            </w:r>
          </w:p>
        </w:tc>
      </w:tr>
      <w:tr>
        <w:tc>
          <w:tcPr>
            <w:tcW w:type="dxa" w:w="3216"/>
          </w:tcPr>
          <w:p>
            <w:pPr>
              <w:spacing w:before="40" w:after="40"/>
            </w:pPr>
            <w:r>
              <w:rPr>
                <w:b w:val="0"/>
                <w:i w:val="0"/>
                <w:sz w:val="17"/>
              </w:rPr>
              <w:t>IT - Illustration &amp; Quoting</w:t>
            </w:r>
          </w:p>
        </w:tc>
        <w:tc>
          <w:tcPr>
            <w:tcW w:type="dxa" w:w="3216"/>
          </w:tcPr>
          <w:p>
            <w:pPr>
              <w:spacing w:before="40" w:after="40"/>
            </w:pPr>
            <w:r>
              <w:rPr>
                <w:b w:val="0"/>
                <w:i w:val="0"/>
                <w:sz w:val="17"/>
              </w:rPr>
              <w:t>6</w:t>
            </w:r>
          </w:p>
        </w:tc>
        <w:tc>
          <w:tcPr>
            <w:tcW w:type="dxa" w:w="3216"/>
          </w:tcPr>
          <w:p>
            <w:pPr>
              <w:spacing w:before="40" w:after="40"/>
            </w:pPr>
            <w:r>
              <w:rPr>
                <w:b w:val="0"/>
                <w:i w:val="0"/>
                <w:sz w:val="17"/>
              </w:rPr>
              <w:t>11,600</w:t>
            </w:r>
          </w:p>
        </w:tc>
      </w:tr>
      <w:tr>
        <w:tc>
          <w:tcPr>
            <w:tcW w:type="dxa" w:w="3216"/>
          </w:tcPr>
          <w:p>
            <w:pPr>
              <w:spacing w:before="40" w:after="40"/>
            </w:pPr>
            <w:r>
              <w:rPr>
                <w:b w:val="0"/>
                <w:i w:val="0"/>
                <w:sz w:val="17"/>
              </w:rPr>
              <w:t>Distribution &amp; Wholesaling</w:t>
            </w:r>
          </w:p>
        </w:tc>
        <w:tc>
          <w:tcPr>
            <w:tcW w:type="dxa" w:w="3216"/>
          </w:tcPr>
          <w:p>
            <w:pPr>
              <w:spacing w:before="40" w:after="40"/>
            </w:pPr>
            <w:r>
              <w:rPr>
                <w:b w:val="0"/>
                <w:i w:val="0"/>
                <w:sz w:val="17"/>
              </w:rPr>
              <w:t>6</w:t>
            </w:r>
          </w:p>
        </w:tc>
        <w:tc>
          <w:tcPr>
            <w:tcW w:type="dxa" w:w="3216"/>
          </w:tcPr>
          <w:p>
            <w:pPr>
              <w:spacing w:before="40" w:after="40"/>
            </w:pPr>
            <w:r>
              <w:rPr>
                <w:b w:val="0"/>
                <w:i w:val="0"/>
                <w:sz w:val="17"/>
              </w:rPr>
              <w:t>7,600</w:t>
            </w:r>
          </w:p>
        </w:tc>
      </w:tr>
      <w:tr>
        <w:tc>
          <w:tcPr>
            <w:tcW w:type="dxa" w:w="3216"/>
          </w:tcPr>
          <w:p>
            <w:pPr>
              <w:spacing w:before="40" w:after="40"/>
            </w:pPr>
            <w:r>
              <w:rPr>
                <w:b w:val="0"/>
                <w:i w:val="0"/>
                <w:sz w:val="17"/>
              </w:rPr>
              <w:t>Gate Review Board (oversight only)</w:t>
            </w:r>
          </w:p>
        </w:tc>
        <w:tc>
          <w:tcPr>
            <w:tcW w:type="dxa" w:w="3216"/>
          </w:tcPr>
          <w:p>
            <w:pPr>
              <w:spacing w:before="40" w:after="40"/>
            </w:pPr>
            <w:r>
              <w:rPr>
                <w:b w:val="0"/>
                <w:i w:val="0"/>
                <w:sz w:val="17"/>
              </w:rPr>
              <w:t>6</w:t>
            </w:r>
          </w:p>
        </w:tc>
        <w:tc>
          <w:tcPr>
            <w:tcW w:type="dxa" w:w="3216"/>
          </w:tcPr>
          <w:p>
            <w:pPr>
              <w:spacing w:before="40" w:after="40"/>
            </w:pPr>
            <w:r>
              <w:rPr>
                <w:b w:val="0"/>
                <w:i w:val="0"/>
                <w:sz w:val="17"/>
              </w:rPr>
              <w:t>1,240</w:t>
            </w:r>
          </w:p>
        </w:tc>
      </w:tr>
      <w:tr>
        <w:tc>
          <w:tcPr>
            <w:tcW w:type="dxa" w:w="3216"/>
          </w:tcPr>
          <w:p>
            <w:pPr>
              <w:spacing w:before="40" w:after="40"/>
            </w:pPr>
            <w:r>
              <w:rPr>
                <w:b w:val="0"/>
                <w:i w:val="0"/>
                <w:sz w:val="17"/>
              </w:rPr>
              <w:t>Regulatory Filing &amp; Contract Forms</w:t>
            </w:r>
          </w:p>
        </w:tc>
        <w:tc>
          <w:tcPr>
            <w:tcW w:type="dxa" w:w="3216"/>
          </w:tcPr>
          <w:p>
            <w:pPr>
              <w:spacing w:before="40" w:after="40"/>
            </w:pPr>
            <w:r>
              <w:rPr>
                <w:b w:val="0"/>
                <w:i w:val="0"/>
                <w:sz w:val="17"/>
              </w:rPr>
              <w:t>5</w:t>
            </w:r>
          </w:p>
        </w:tc>
        <w:tc>
          <w:tcPr>
            <w:tcW w:type="dxa" w:w="3216"/>
          </w:tcPr>
          <w:p>
            <w:pPr>
              <w:spacing w:before="40" w:after="40"/>
            </w:pPr>
            <w:r>
              <w:rPr>
                <w:b w:val="0"/>
                <w:i w:val="0"/>
                <w:sz w:val="17"/>
              </w:rPr>
              <w:t>8,200</w:t>
            </w:r>
          </w:p>
        </w:tc>
      </w:tr>
      <w:tr>
        <w:tc>
          <w:tcPr>
            <w:tcW w:type="dxa" w:w="3216"/>
          </w:tcPr>
          <w:p>
            <w:pPr>
              <w:spacing w:before="40" w:after="40"/>
            </w:pPr>
            <w:r>
              <w:rPr>
                <w:b w:val="0"/>
                <w:i w:val="0"/>
                <w:sz w:val="17"/>
              </w:rPr>
              <w:t>Data, Reporting &amp; Analytics</w:t>
            </w:r>
          </w:p>
        </w:tc>
        <w:tc>
          <w:tcPr>
            <w:tcW w:type="dxa" w:w="3216"/>
          </w:tcPr>
          <w:p>
            <w:pPr>
              <w:spacing w:before="40" w:after="40"/>
            </w:pPr>
            <w:r>
              <w:rPr>
                <w:b w:val="0"/>
                <w:i w:val="0"/>
                <w:sz w:val="17"/>
              </w:rPr>
              <w:t>4</w:t>
            </w:r>
          </w:p>
        </w:tc>
        <w:tc>
          <w:tcPr>
            <w:tcW w:type="dxa" w:w="3216"/>
          </w:tcPr>
          <w:p>
            <w:pPr>
              <w:spacing w:before="40" w:after="40"/>
            </w:pPr>
            <w:r>
              <w:rPr>
                <w:b w:val="0"/>
                <w:i w:val="0"/>
                <w:sz w:val="17"/>
              </w:rPr>
              <w:t>6,400</w:t>
            </w:r>
          </w:p>
        </w:tc>
      </w:tr>
      <w:tr>
        <w:tc>
          <w:tcPr>
            <w:tcW w:type="dxa" w:w="3216"/>
          </w:tcPr>
          <w:p>
            <w:pPr>
              <w:spacing w:before="40" w:after="40"/>
            </w:pPr>
            <w:r>
              <w:rPr>
                <w:b w:val="0"/>
                <w:i w:val="0"/>
                <w:sz w:val="17"/>
              </w:rPr>
              <w:t>Marketing &amp; Advisor Enablement</w:t>
            </w:r>
          </w:p>
        </w:tc>
        <w:tc>
          <w:tcPr>
            <w:tcW w:type="dxa" w:w="3216"/>
          </w:tcPr>
          <w:p>
            <w:pPr>
              <w:spacing w:before="40" w:after="40"/>
            </w:pPr>
            <w:r>
              <w:rPr>
                <w:b w:val="0"/>
                <w:i w:val="0"/>
                <w:sz w:val="17"/>
              </w:rPr>
              <w:t>4</w:t>
            </w:r>
          </w:p>
        </w:tc>
        <w:tc>
          <w:tcPr>
            <w:tcW w:type="dxa" w:w="3216"/>
          </w:tcPr>
          <w:p>
            <w:pPr>
              <w:spacing w:before="40" w:after="40"/>
            </w:pPr>
            <w:r>
              <w:rPr>
                <w:b w:val="0"/>
                <w:i w:val="0"/>
                <w:sz w:val="17"/>
              </w:rPr>
              <w:t>5,400</w:t>
            </w:r>
          </w:p>
        </w:tc>
      </w:tr>
      <w:tr>
        <w:tc>
          <w:tcPr>
            <w:tcW w:type="dxa" w:w="3216"/>
          </w:tcPr>
          <w:p>
            <w:pPr>
              <w:spacing w:before="40" w:after="40"/>
            </w:pPr>
            <w:r>
              <w:rPr>
                <w:b w:val="0"/>
                <w:i w:val="0"/>
                <w:sz w:val="17"/>
              </w:rPr>
              <w:t>Finance &amp; Treasury</w:t>
            </w:r>
          </w:p>
        </w:tc>
        <w:tc>
          <w:tcPr>
            <w:tcW w:type="dxa" w:w="3216"/>
          </w:tcPr>
          <w:p>
            <w:pPr>
              <w:spacing w:before="40" w:after="40"/>
            </w:pPr>
            <w:r>
              <w:rPr>
                <w:b w:val="0"/>
                <w:i w:val="0"/>
                <w:sz w:val="17"/>
              </w:rPr>
              <w:t>4</w:t>
            </w:r>
          </w:p>
        </w:tc>
        <w:tc>
          <w:tcPr>
            <w:tcW w:type="dxa" w:w="3216"/>
          </w:tcPr>
          <w:p>
            <w:pPr>
              <w:spacing w:before="40" w:after="40"/>
            </w:pPr>
            <w:r>
              <w:rPr>
                <w:b w:val="0"/>
                <w:i w:val="0"/>
                <w:sz w:val="17"/>
              </w:rPr>
              <w:t>5,200</w:t>
            </w:r>
          </w:p>
        </w:tc>
      </w:tr>
    </w:tbl>
    <w:p/>
    <w:p>
      <w:pPr>
        <w:spacing w:after="120"/>
      </w:pPr>
      <w:r>
        <w:rPr>
          <w:b w:val="0"/>
          <w:i w:val="0"/>
          <w:sz w:val="20"/>
        </w:rPr>
        <w:t>Full cost detail by team, and the roster reconciliation showing every named person's hours and allocation tying exactly to these envelopes, lives in the Program Budget (§12) and the (forthcoming) Resource Plan.</w:t>
      </w:r>
    </w:p>
    <w:p>
      <w:pPr>
        <w:spacing w:before="280" w:after="80"/>
      </w:pPr>
      <w:r>
        <w:rPr>
          <w:b/>
          <w:i w:val="0"/>
          <w:color w:val="14352A"/>
          <w:sz w:val="28"/>
        </w:rPr>
        <w:t>11. Stakeholder Identification</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Stakeholder</w:t>
            </w:r>
          </w:p>
        </w:tc>
        <w:tc>
          <w:tcPr>
            <w:tcW w:type="dxa" w:w="4824"/>
            <w:shd w:val="clear" w:fill="14352A"/>
          </w:tcPr>
          <w:p>
            <w:pPr>
              <w:spacing w:before="40" w:after="40"/>
            </w:pPr>
            <w:r>
              <w:rPr>
                <w:b/>
                <w:i w:val="0"/>
                <w:color w:val="FFFFFF"/>
                <w:sz w:val="17"/>
              </w:rPr>
              <w:t>Role</w:t>
            </w:r>
          </w:p>
        </w:tc>
      </w:tr>
      <w:tr>
        <w:tc>
          <w:tcPr>
            <w:tcW w:type="dxa" w:w="4824"/>
          </w:tcPr>
          <w:p>
            <w:pPr>
              <w:spacing w:before="40" w:after="40"/>
            </w:pPr>
            <w:r>
              <w:rPr>
                <w:b w:val="0"/>
                <w:i w:val="0"/>
                <w:sz w:val="17"/>
              </w:rPr>
              <w:t>Gate Review Board (§8)</w:t>
            </w:r>
          </w:p>
        </w:tc>
        <w:tc>
          <w:tcPr>
            <w:tcW w:type="dxa" w:w="4824"/>
          </w:tcPr>
          <w:p>
            <w:pPr>
              <w:spacing w:before="40" w:after="40"/>
            </w:pPr>
            <w:r>
              <w:rPr>
                <w:b w:val="0"/>
                <w:i w:val="0"/>
                <w:sz w:val="17"/>
              </w:rPr>
              <w:t>Decision authority at every gate</w:t>
            </w:r>
          </w:p>
        </w:tc>
      </w:tr>
      <w:tr>
        <w:tc>
          <w:tcPr>
            <w:tcW w:type="dxa" w:w="4824"/>
          </w:tcPr>
          <w:p>
            <w:pPr>
              <w:spacing w:before="40" w:after="40"/>
            </w:pPr>
            <w:r>
              <w:rPr>
                <w:b w:val="0"/>
                <w:i w:val="0"/>
                <w:sz w:val="17"/>
              </w:rPr>
              <w:t>K. Iyer</w:t>
            </w:r>
          </w:p>
        </w:tc>
        <w:tc>
          <w:tcPr>
            <w:tcW w:type="dxa" w:w="4824"/>
          </w:tcPr>
          <w:p>
            <w:pPr>
              <w:spacing w:before="40" w:after="40"/>
            </w:pPr>
            <w:r>
              <w:rPr>
                <w:b w:val="0"/>
                <w:i w:val="0"/>
                <w:sz w:val="17"/>
              </w:rPr>
              <w:t>PMO Lead / Gate Secretariat</w:t>
            </w:r>
          </w:p>
        </w:tc>
      </w:tr>
      <w:tr>
        <w:tc>
          <w:tcPr>
            <w:tcW w:type="dxa" w:w="4824"/>
          </w:tcPr>
          <w:p>
            <w:pPr>
              <w:spacing w:before="40" w:after="40"/>
            </w:pPr>
            <w:r>
              <w:rPr>
                <w:b w:val="0"/>
                <w:i w:val="0"/>
                <w:sz w:val="17"/>
              </w:rPr>
              <w:t>D. Falkner</w:t>
            </w:r>
          </w:p>
        </w:tc>
        <w:tc>
          <w:tcPr>
            <w:tcW w:type="dxa" w:w="4824"/>
          </w:tcPr>
          <w:p>
            <w:pPr>
              <w:spacing w:before="40" w:after="40"/>
            </w:pPr>
            <w:r>
              <w:rPr>
                <w:b w:val="0"/>
                <w:i w:val="0"/>
                <w:sz w:val="17"/>
              </w:rPr>
              <w:t>VP Product Development</w:t>
            </w:r>
          </w:p>
        </w:tc>
      </w:tr>
      <w:tr>
        <w:tc>
          <w:tcPr>
            <w:tcW w:type="dxa" w:w="4824"/>
          </w:tcPr>
          <w:p>
            <w:pPr>
              <w:spacing w:before="40" w:after="40"/>
            </w:pPr>
            <w:r>
              <w:rPr>
                <w:b w:val="0"/>
                <w:i w:val="0"/>
                <w:sz w:val="17"/>
              </w:rPr>
              <w:t>S. Ravichandran</w:t>
            </w:r>
          </w:p>
        </w:tc>
        <w:tc>
          <w:tcPr>
            <w:tcW w:type="dxa" w:w="4824"/>
          </w:tcPr>
          <w:p>
            <w:pPr>
              <w:spacing w:before="40" w:after="40"/>
            </w:pPr>
            <w:r>
              <w:rPr>
                <w:b w:val="0"/>
                <w:i w:val="0"/>
                <w:sz w:val="17"/>
              </w:rPr>
              <w:t>Lead Pricing Actuary, FSA</w:t>
            </w:r>
          </w:p>
        </w:tc>
      </w:tr>
      <w:tr>
        <w:tc>
          <w:tcPr>
            <w:tcW w:type="dxa" w:w="4824"/>
          </w:tcPr>
          <w:p>
            <w:pPr>
              <w:spacing w:before="40" w:after="40"/>
            </w:pPr>
            <w:r>
              <w:rPr>
                <w:b w:val="0"/>
                <w:i w:val="0"/>
                <w:sz w:val="17"/>
              </w:rPr>
              <w:t>T. Brennan</w:t>
            </w:r>
          </w:p>
        </w:tc>
        <w:tc>
          <w:tcPr>
            <w:tcW w:type="dxa" w:w="4824"/>
          </w:tcPr>
          <w:p>
            <w:pPr>
              <w:spacing w:before="40" w:after="40"/>
            </w:pPr>
            <w:r>
              <w:rPr>
                <w:b w:val="0"/>
                <w:i w:val="0"/>
                <w:sz w:val="17"/>
              </w:rPr>
              <w:t>Valuation Actuary</w:t>
            </w:r>
          </w:p>
        </w:tc>
      </w:tr>
      <w:tr>
        <w:tc>
          <w:tcPr>
            <w:tcW w:type="dxa" w:w="4824"/>
          </w:tcPr>
          <w:p>
            <w:pPr>
              <w:spacing w:before="40" w:after="40"/>
            </w:pPr>
            <w:r>
              <w:rPr>
                <w:b w:val="0"/>
                <w:i w:val="0"/>
                <w:sz w:val="17"/>
              </w:rPr>
              <w:t>M. Delacroix</w:t>
            </w:r>
          </w:p>
        </w:tc>
        <w:tc>
          <w:tcPr>
            <w:tcW w:type="dxa" w:w="4824"/>
          </w:tcPr>
          <w:p>
            <w:pPr>
              <w:spacing w:before="40" w:after="40"/>
            </w:pPr>
            <w:r>
              <w:rPr>
                <w:b w:val="0"/>
                <w:i w:val="0"/>
                <w:sz w:val="17"/>
              </w:rPr>
              <w:t>Director, ALM &amp; Hedging</w:t>
            </w:r>
          </w:p>
        </w:tc>
      </w:tr>
      <w:tr>
        <w:tc>
          <w:tcPr>
            <w:tcW w:type="dxa" w:w="4824"/>
          </w:tcPr>
          <w:p>
            <w:pPr>
              <w:spacing w:before="40" w:after="40"/>
            </w:pPr>
            <w:r>
              <w:rPr>
                <w:b w:val="0"/>
                <w:i w:val="0"/>
                <w:sz w:val="17"/>
              </w:rPr>
              <w:t>A. Nkemelu</w:t>
            </w:r>
          </w:p>
        </w:tc>
        <w:tc>
          <w:tcPr>
            <w:tcW w:type="dxa" w:w="4824"/>
          </w:tcPr>
          <w:p>
            <w:pPr>
              <w:spacing w:before="40" w:after="40"/>
            </w:pPr>
            <w:r>
              <w:rPr>
                <w:b w:val="0"/>
                <w:i w:val="0"/>
                <w:sz w:val="17"/>
              </w:rPr>
              <w:t>Senior Counsel, Product</w:t>
            </w:r>
          </w:p>
        </w:tc>
      </w:tr>
      <w:tr>
        <w:tc>
          <w:tcPr>
            <w:tcW w:type="dxa" w:w="4824"/>
          </w:tcPr>
          <w:p>
            <w:pPr>
              <w:spacing w:before="40" w:after="40"/>
            </w:pPr>
            <w:r>
              <w:rPr>
                <w:b w:val="0"/>
                <w:i w:val="0"/>
                <w:sz w:val="17"/>
              </w:rPr>
              <w:t>P. Hollingsworth</w:t>
            </w:r>
          </w:p>
        </w:tc>
        <w:tc>
          <w:tcPr>
            <w:tcW w:type="dxa" w:w="4824"/>
          </w:tcPr>
          <w:p>
            <w:pPr>
              <w:spacing w:before="40" w:after="40"/>
            </w:pPr>
            <w:r>
              <w:rPr>
                <w:b w:val="0"/>
                <w:i w:val="0"/>
                <w:sz w:val="17"/>
              </w:rPr>
              <w:t>Manager, Product Filing</w:t>
            </w:r>
          </w:p>
        </w:tc>
      </w:tr>
      <w:tr>
        <w:tc>
          <w:tcPr>
            <w:tcW w:type="dxa" w:w="4824"/>
          </w:tcPr>
          <w:p>
            <w:pPr>
              <w:spacing w:before="40" w:after="40"/>
            </w:pPr>
            <w:r>
              <w:rPr>
                <w:b w:val="0"/>
                <w:i w:val="0"/>
                <w:sz w:val="17"/>
              </w:rPr>
              <w:t>V. Sandoval</w:t>
            </w:r>
          </w:p>
        </w:tc>
        <w:tc>
          <w:tcPr>
            <w:tcW w:type="dxa" w:w="4824"/>
          </w:tcPr>
          <w:p>
            <w:pPr>
              <w:spacing w:before="40" w:after="40"/>
            </w:pPr>
            <w:r>
              <w:rPr>
                <w:b w:val="0"/>
                <w:i w:val="0"/>
                <w:sz w:val="17"/>
              </w:rPr>
              <w:t>Platform Delivery Lead</w:t>
            </w:r>
          </w:p>
        </w:tc>
      </w:tr>
      <w:tr>
        <w:tc>
          <w:tcPr>
            <w:tcW w:type="dxa" w:w="4824"/>
          </w:tcPr>
          <w:p>
            <w:pPr>
              <w:spacing w:before="40" w:after="40"/>
            </w:pPr>
            <w:r>
              <w:rPr>
                <w:b w:val="0"/>
                <w:i w:val="0"/>
                <w:sz w:val="17"/>
              </w:rPr>
              <w:t>E. Kowalczyk</w:t>
            </w:r>
          </w:p>
        </w:tc>
        <w:tc>
          <w:tcPr>
            <w:tcW w:type="dxa" w:w="4824"/>
          </w:tcPr>
          <w:p>
            <w:pPr>
              <w:spacing w:before="40" w:after="40"/>
            </w:pPr>
            <w:r>
              <w:rPr>
                <w:b w:val="0"/>
                <w:i w:val="0"/>
                <w:sz w:val="17"/>
              </w:rPr>
              <w:t>Illustration Systems Lead</w:t>
            </w:r>
          </w:p>
        </w:tc>
      </w:tr>
      <w:tr>
        <w:tc>
          <w:tcPr>
            <w:tcW w:type="dxa" w:w="4824"/>
          </w:tcPr>
          <w:p>
            <w:pPr>
              <w:spacing w:before="40" w:after="40"/>
            </w:pPr>
            <w:r>
              <w:rPr>
                <w:b w:val="0"/>
                <w:i w:val="0"/>
                <w:sz w:val="17"/>
              </w:rPr>
              <w:t>F. Osunde</w:t>
            </w:r>
          </w:p>
        </w:tc>
        <w:tc>
          <w:tcPr>
            <w:tcW w:type="dxa" w:w="4824"/>
          </w:tcPr>
          <w:p>
            <w:pPr>
              <w:spacing w:before="40" w:after="40"/>
            </w:pPr>
            <w:r>
              <w:rPr>
                <w:b w:val="0"/>
                <w:i w:val="0"/>
                <w:sz w:val="17"/>
              </w:rPr>
              <w:t>Data Lead</w:t>
            </w:r>
          </w:p>
        </w:tc>
      </w:tr>
      <w:tr>
        <w:tc>
          <w:tcPr>
            <w:tcW w:type="dxa" w:w="4824"/>
          </w:tcPr>
          <w:p>
            <w:pPr>
              <w:spacing w:before="40" w:after="40"/>
            </w:pPr>
            <w:r>
              <w:rPr>
                <w:b w:val="0"/>
                <w:i w:val="0"/>
                <w:sz w:val="17"/>
              </w:rPr>
              <w:t>L. Marchand</w:t>
            </w:r>
          </w:p>
        </w:tc>
        <w:tc>
          <w:tcPr>
            <w:tcW w:type="dxa" w:w="4824"/>
          </w:tcPr>
          <w:p>
            <w:pPr>
              <w:spacing w:before="40" w:after="40"/>
            </w:pPr>
            <w:r>
              <w:rPr>
                <w:b w:val="0"/>
                <w:i w:val="0"/>
                <w:sz w:val="17"/>
              </w:rPr>
              <w:t>Director, Annuity Operations</w:t>
            </w:r>
          </w:p>
        </w:tc>
      </w:tr>
      <w:tr>
        <w:tc>
          <w:tcPr>
            <w:tcW w:type="dxa" w:w="4824"/>
          </w:tcPr>
          <w:p>
            <w:pPr>
              <w:spacing w:before="40" w:after="40"/>
            </w:pPr>
            <w:r>
              <w:rPr>
                <w:b w:val="0"/>
                <w:i w:val="0"/>
                <w:sz w:val="17"/>
              </w:rPr>
              <w:t>H. Kirkpatrick</w:t>
            </w:r>
          </w:p>
        </w:tc>
        <w:tc>
          <w:tcPr>
            <w:tcW w:type="dxa" w:w="4824"/>
          </w:tcPr>
          <w:p>
            <w:pPr>
              <w:spacing w:before="40" w:after="40"/>
            </w:pPr>
            <w:r>
              <w:rPr>
                <w:b w:val="0"/>
                <w:i w:val="0"/>
                <w:sz w:val="17"/>
              </w:rPr>
              <w:t>National Sales Manager</w:t>
            </w:r>
          </w:p>
        </w:tc>
      </w:tr>
      <w:tr>
        <w:tc>
          <w:tcPr>
            <w:tcW w:type="dxa" w:w="4824"/>
          </w:tcPr>
          <w:p>
            <w:pPr>
              <w:spacing w:before="40" w:after="40"/>
            </w:pPr>
            <w:r>
              <w:rPr>
                <w:b w:val="0"/>
                <w:i w:val="0"/>
                <w:sz w:val="17"/>
              </w:rPr>
              <w:t>Y. Okonjo</w:t>
            </w:r>
          </w:p>
        </w:tc>
        <w:tc>
          <w:tcPr>
            <w:tcW w:type="dxa" w:w="4824"/>
          </w:tcPr>
          <w:p>
            <w:pPr>
              <w:spacing w:before="40" w:after="40"/>
            </w:pPr>
            <w:r>
              <w:rPr>
                <w:b w:val="0"/>
                <w:i w:val="0"/>
                <w:sz w:val="17"/>
              </w:rPr>
              <w:t>Marketing &amp; Advisor Enablement Lead</w:t>
            </w:r>
          </w:p>
        </w:tc>
      </w:tr>
      <w:tr>
        <w:tc>
          <w:tcPr>
            <w:tcW w:type="dxa" w:w="4824"/>
          </w:tcPr>
          <w:p>
            <w:pPr>
              <w:spacing w:before="40" w:after="40"/>
            </w:pPr>
            <w:r>
              <w:rPr>
                <w:b w:val="0"/>
                <w:i w:val="0"/>
                <w:sz w:val="17"/>
              </w:rPr>
              <w:t>B. Trombley</w:t>
            </w:r>
          </w:p>
        </w:tc>
        <w:tc>
          <w:tcPr>
            <w:tcW w:type="dxa" w:w="4824"/>
          </w:tcPr>
          <w:p>
            <w:pPr>
              <w:spacing w:before="40" w:after="40"/>
            </w:pPr>
            <w:r>
              <w:rPr>
                <w:b w:val="0"/>
                <w:i w:val="0"/>
                <w:sz w:val="17"/>
              </w:rPr>
              <w:t>Program Finance Manager</w:t>
            </w:r>
          </w:p>
        </w:tc>
      </w:tr>
      <w:tr>
        <w:tc>
          <w:tcPr>
            <w:tcW w:type="dxa" w:w="4824"/>
          </w:tcPr>
          <w:p>
            <w:pPr>
              <w:spacing w:before="40" w:after="40"/>
            </w:pPr>
            <w:r>
              <w:rPr>
                <w:b w:val="0"/>
                <w:i w:val="0"/>
                <w:sz w:val="17"/>
              </w:rPr>
              <w:t>Cordelane Systems</w:t>
            </w:r>
          </w:p>
        </w:tc>
        <w:tc>
          <w:tcPr>
            <w:tcW w:type="dxa" w:w="4824"/>
          </w:tcPr>
          <w:p>
            <w:pPr>
              <w:spacing w:before="40" w:after="40"/>
            </w:pPr>
            <w:r>
              <w:rPr>
                <w:b w:val="0"/>
                <w:i w:val="0"/>
                <w:sz w:val="17"/>
              </w:rPr>
              <w:t>Annuity admin platform (incumbent vendor)</w:t>
            </w:r>
          </w:p>
        </w:tc>
      </w:tr>
      <w:tr>
        <w:tc>
          <w:tcPr>
            <w:tcW w:type="dxa" w:w="4824"/>
          </w:tcPr>
          <w:p>
            <w:pPr>
              <w:spacing w:before="40" w:after="40"/>
            </w:pPr>
            <w:r>
              <w:rPr>
                <w:b w:val="0"/>
                <w:i w:val="0"/>
                <w:sz w:val="17"/>
              </w:rPr>
              <w:t>Brightpath Analytics</w:t>
            </w:r>
          </w:p>
        </w:tc>
        <w:tc>
          <w:tcPr>
            <w:tcW w:type="dxa" w:w="4824"/>
          </w:tcPr>
          <w:p>
            <w:pPr>
              <w:spacing w:before="40" w:after="40"/>
            </w:pPr>
            <w:r>
              <w:rPr>
                <w:b w:val="0"/>
                <w:i w:val="0"/>
                <w:sz w:val="17"/>
              </w:rPr>
              <w:t>Illustration &amp; quoting engine vendor</w:t>
            </w:r>
          </w:p>
        </w:tc>
      </w:tr>
      <w:tr>
        <w:tc>
          <w:tcPr>
            <w:tcW w:type="dxa" w:w="4824"/>
          </w:tcPr>
          <w:p>
            <w:pPr>
              <w:spacing w:before="40" w:after="40"/>
            </w:pPr>
            <w:r>
              <w:rPr>
                <w:b w:val="0"/>
                <w:i w:val="0"/>
                <w:sz w:val="17"/>
              </w:rPr>
              <w:t>Ardmore Actuarial Partners</w:t>
            </w:r>
          </w:p>
        </w:tc>
        <w:tc>
          <w:tcPr>
            <w:tcW w:type="dxa" w:w="4824"/>
          </w:tcPr>
          <w:p>
            <w:pPr>
              <w:spacing w:before="40" w:after="40"/>
            </w:pPr>
            <w:r>
              <w:rPr>
                <w:b w:val="0"/>
                <w:i w:val="0"/>
                <w:sz w:val="17"/>
              </w:rPr>
              <w:t>External peer review, GC-03</w:t>
            </w:r>
          </w:p>
        </w:tc>
      </w:tr>
      <w:tr>
        <w:tc>
          <w:tcPr>
            <w:tcW w:type="dxa" w:w="4824"/>
          </w:tcPr>
          <w:p>
            <w:pPr>
              <w:spacing w:before="40" w:after="40"/>
            </w:pPr>
            <w:r>
              <w:rPr>
                <w:b w:val="0"/>
                <w:i w:val="0"/>
                <w:sz w:val="17"/>
              </w:rPr>
              <w:t>Halverson Re</w:t>
            </w:r>
          </w:p>
        </w:tc>
        <w:tc>
          <w:tcPr>
            <w:tcW w:type="dxa" w:w="4824"/>
          </w:tcPr>
          <w:p>
            <w:pPr>
              <w:spacing w:before="40" w:after="40"/>
            </w:pPr>
            <w:r>
              <w:rPr>
                <w:b w:val="0"/>
                <w:i w:val="0"/>
                <w:sz w:val="17"/>
              </w:rPr>
              <w:t>GLWB risk transfer reinsurer</w:t>
            </w:r>
          </w:p>
        </w:tc>
      </w:tr>
      <w:tr>
        <w:tc>
          <w:tcPr>
            <w:tcW w:type="dxa" w:w="4824"/>
          </w:tcPr>
          <w:p>
            <w:pPr>
              <w:spacing w:before="40" w:after="40"/>
            </w:pPr>
            <w:r>
              <w:rPr>
                <w:b w:val="0"/>
                <w:i w:val="0"/>
                <w:sz w:val="17"/>
              </w:rPr>
              <w:t>Calder Index Services</w:t>
            </w:r>
          </w:p>
        </w:tc>
        <w:tc>
          <w:tcPr>
            <w:tcW w:type="dxa" w:w="4824"/>
          </w:tcPr>
          <w:p>
            <w:pPr>
              <w:spacing w:before="40" w:after="40"/>
            </w:pPr>
            <w:r>
              <w:rPr>
                <w:b w:val="0"/>
                <w:i w:val="0"/>
                <w:sz w:val="17"/>
              </w:rPr>
              <w:t>Calder Balanced 5 Index licensor</w:t>
            </w:r>
          </w:p>
        </w:tc>
      </w:tr>
      <w:tr>
        <w:tc>
          <w:tcPr>
            <w:tcW w:type="dxa" w:w="4824"/>
          </w:tcPr>
          <w:p>
            <w:pPr>
              <w:spacing w:before="40" w:after="40"/>
            </w:pPr>
            <w:r>
              <w:rPr>
                <w:b w:val="0"/>
                <w:i w:val="0"/>
                <w:sz w:val="17"/>
              </w:rPr>
              <w:t>Northgate Financial Group, Sentinel Advisory Network, Copperfield Insurance Marketing</w:t>
            </w:r>
          </w:p>
        </w:tc>
        <w:tc>
          <w:tcPr>
            <w:tcW w:type="dxa" w:w="4824"/>
          </w:tcPr>
          <w:p>
            <w:pPr>
              <w:spacing w:before="40" w:after="40"/>
            </w:pPr>
            <w:r>
              <w:rPr>
                <w:b w:val="0"/>
                <w:i w:val="0"/>
                <w:sz w:val="17"/>
              </w:rPr>
              <w:t>IMO distribution partners</w:t>
            </w:r>
          </w:p>
        </w:tc>
      </w:tr>
    </w:tbl>
    <w:p/>
    <w:p>
      <w:pPr>
        <w:spacing w:before="360"/>
      </w:pPr>
      <w:r>
        <w:rPr>
          <w:b/>
          <w:i w:val="0"/>
          <w:color w:val="1E5945"/>
          <w:sz w:val="22"/>
        </w:rPr>
        <w:t>Part III — What Is Authorized, and What Is Not</w:t>
      </w:r>
    </w:p>
    <w:p>
      <w:pPr>
        <w:spacing w:before="280" w:after="80"/>
      </w:pPr>
      <w:r>
        <w:rPr>
          <w:b/>
          <w:i w:val="0"/>
          <w:color w:val="14352A"/>
          <w:sz w:val="28"/>
        </w:rPr>
        <w:t>12. Budget Authorization</w:t>
      </w:r>
    </w:p>
    <w:p>
      <w:pPr>
        <w:spacing w:after="120"/>
      </w:pPr>
      <w:r>
        <w:rPr>
          <w:b w:val="0"/>
          <w:i w:val="0"/>
          <w:sz w:val="20"/>
        </w:rPr>
        <w:t>$17,980,000</w:t>
      </w:r>
    </w:p>
    <w:p>
      <w:pPr>
        <w:spacing w:after="120"/>
      </w:pPr>
      <w:r>
        <w:rPr>
          <w:b w:val="0"/>
          <w:i w:val="0"/>
          <w:sz w:val="20"/>
        </w:rPr>
        <w:t>Labor</w:t>
      </w:r>
    </w:p>
    <w:p>
      <w:pPr>
        <w:spacing w:after="120"/>
      </w:pPr>
      <w:r>
        <w:rPr>
          <w:b w:val="0"/>
          <w:i w:val="0"/>
          <w:sz w:val="20"/>
        </w:rPr>
        <w:t>$7,620,000</w:t>
      </w:r>
    </w:p>
    <w:p>
      <w:pPr>
        <w:spacing w:after="120"/>
      </w:pPr>
      <w:r>
        <w:rPr>
          <w:b w:val="0"/>
          <w:i w:val="0"/>
          <w:sz w:val="20"/>
        </w:rPr>
        <w:t>Non-labor</w:t>
      </w:r>
    </w:p>
    <w:p>
      <w:pPr>
        <w:spacing w:after="120"/>
      </w:pPr>
      <w:r>
        <w:rPr>
          <w:b w:val="0"/>
          <w:i w:val="0"/>
          <w:sz w:val="20"/>
        </w:rPr>
        <w:t>$25,600,000</w:t>
      </w:r>
    </w:p>
    <w:p>
      <w:pPr>
        <w:spacing w:after="120"/>
      </w:pPr>
      <w:r>
        <w:rPr>
          <w:b w:val="0"/>
          <w:i w:val="0"/>
          <w:sz w:val="20"/>
        </w:rPr>
        <w:t>Base ($17,980,000 + $7,620,000)</w:t>
      </w:r>
    </w:p>
    <w:p>
      <w:pPr>
        <w:spacing w:after="120"/>
      </w:pPr>
      <w:r>
        <w:rPr>
          <w:b w:val="0"/>
          <w:i w:val="0"/>
          <w:sz w:val="20"/>
        </w:rPr>
        <w:t>$2,304,000</w:t>
      </w:r>
    </w:p>
    <w:p>
      <w:pPr>
        <w:spacing w:after="120"/>
      </w:pPr>
      <w:r>
        <w:rPr>
          <w:b w:val="0"/>
          <w:i w:val="0"/>
          <w:sz w:val="20"/>
        </w:rPr>
        <w:t>Gate contingency (9.0%)</w:t>
      </w:r>
    </w:p>
    <w:p>
      <w:pPr>
        <w:spacing w:after="120"/>
      </w:pPr>
      <w:r>
        <w:rPr>
          <w:b w:val="0"/>
          <w:i w:val="0"/>
          <w:sz w:val="20"/>
        </w:rPr>
        <w:t xml:space="preserve">This charter authorizes a program cost ceiling of </w:t>
      </w:r>
      <w:r>
        <w:rPr>
          <w:b/>
          <w:i w:val="0"/>
          <w:sz w:val="20"/>
        </w:rPr>
        <w:t>$27,904,000</w:t>
      </w:r>
      <w:r>
        <w:rPr>
          <w:b w:val="0"/>
          <w:i w:val="0"/>
          <w:sz w:val="20"/>
        </w:rPr>
        <w:t xml:space="preserve"> — base of $25,600,000 plus a 9.0% gate contingency of $2,304,000 — as the not-to-exceed envelope for the program's full life, from Gate 0 through launch. This is a ceiling, not a release: no stage spends against it until its own gate authorizes the tranche (§13). Full labor and non-labor line-item detail lives in the Program Budget.</w:t>
      </w:r>
    </w:p>
    <w:p>
      <w:pPr>
        <w:spacing w:before="280" w:after="80"/>
      </w:pPr>
      <w:r>
        <w:rPr>
          <w:b/>
          <w:i w:val="0"/>
          <w:color w:val="14352A"/>
          <w:sz w:val="28"/>
        </w:rPr>
        <w:t>13. Funding Release Mechanism</w:t>
      </w:r>
    </w:p>
    <w:p>
      <w:pPr>
        <w:spacing w:after="120"/>
      </w:pPr>
      <w:r>
        <w:rPr>
          <w:b w:val="0"/>
          <w:i w:val="0"/>
          <w:sz w:val="20"/>
        </w:rPr>
        <w:t>Money is released in four tranches, one per stage, each tied to the gate that authorizes it. This is the mechanism that makes §12's ceiling a ceiling rather than a baseline — no stage's spend is authorized before its gate has voted to release it.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Tranche</w:t>
            </w:r>
          </w:p>
        </w:tc>
        <w:tc>
          <w:tcPr>
            <w:tcW w:type="dxa" w:w="2412"/>
            <w:shd w:val="clear" w:fill="14352A"/>
          </w:tcPr>
          <w:p>
            <w:pPr>
              <w:spacing w:before="40" w:after="40"/>
            </w:pPr>
            <w:r>
              <w:rPr>
                <w:b/>
                <w:i w:val="0"/>
                <w:color w:val="FFFFFF"/>
                <w:sz w:val="17"/>
              </w:rPr>
              <w:t>Amount</w:t>
            </w:r>
          </w:p>
        </w:tc>
        <w:tc>
          <w:tcPr>
            <w:tcW w:type="dxa" w:w="2412"/>
            <w:shd w:val="clear" w:fill="14352A"/>
          </w:tcPr>
          <w:p>
            <w:pPr>
              <w:spacing w:before="40" w:after="40"/>
            </w:pPr>
            <w:r>
              <w:rPr>
                <w:b/>
                <w:i w:val="0"/>
                <w:color w:val="FFFFFF"/>
                <w:sz w:val="17"/>
              </w:rPr>
              <w:t>Released at</w:t>
            </w:r>
          </w:p>
        </w:tc>
        <w:tc>
          <w:tcPr>
            <w:tcW w:type="dxa" w:w="2412"/>
            <w:shd w:val="clear" w:fill="14352A"/>
          </w:tcPr>
          <w:p>
            <w:pPr>
              <w:spacing w:before="40" w:after="40"/>
            </w:pPr>
            <w:r>
              <w:rPr>
                <w:b/>
                <w:i w:val="0"/>
                <w:color w:val="FFFFFF"/>
                <w:sz w:val="17"/>
              </w:rPr>
              <w:t>State at 16 Oct 2026</w:t>
            </w:r>
          </w:p>
        </w:tc>
      </w:tr>
      <w:tr>
        <w:tc>
          <w:tcPr>
            <w:tcW w:type="dxa" w:w="2412"/>
          </w:tcPr>
          <w:p>
            <w:pPr>
              <w:spacing w:before="40" w:after="40"/>
            </w:pPr>
            <w:r>
              <w:rPr>
                <w:b w:val="0"/>
                <w:i w:val="0"/>
                <w:sz w:val="17"/>
              </w:rPr>
              <w:t>Stage 1 — Business Case &amp; Feasibility</w:t>
            </w:r>
          </w:p>
        </w:tc>
        <w:tc>
          <w:tcPr>
            <w:tcW w:type="dxa" w:w="2412"/>
          </w:tcPr>
          <w:p>
            <w:pPr>
              <w:spacing w:before="40" w:after="40"/>
            </w:pPr>
            <w:r>
              <w:rPr>
                <w:b w:val="0"/>
                <w:i w:val="0"/>
                <w:sz w:val="17"/>
              </w:rPr>
              <w:t>$2,180,000</w:t>
            </w:r>
          </w:p>
        </w:tc>
        <w:tc>
          <w:tcPr>
            <w:tcW w:type="dxa" w:w="2412"/>
          </w:tcPr>
          <w:p>
            <w:pPr>
              <w:spacing w:before="40" w:after="40"/>
            </w:pPr>
            <w:r>
              <w:rPr>
                <w:b w:val="0"/>
                <w:i w:val="0"/>
                <w:sz w:val="17"/>
              </w:rPr>
              <w:t>Gate 0</w:t>
            </w:r>
          </w:p>
        </w:tc>
        <w:tc>
          <w:tcPr>
            <w:tcW w:type="dxa" w:w="2412"/>
          </w:tcPr>
          <w:p>
            <w:pPr>
              <w:spacing w:before="40" w:after="40"/>
            </w:pPr>
            <w:r>
              <w:rPr>
                <w:b w:val="0"/>
                <w:i w:val="0"/>
                <w:sz w:val="17"/>
              </w:rPr>
              <w:t>Released, closed at $2,412,000</w:t>
            </w:r>
          </w:p>
        </w:tc>
      </w:tr>
      <w:tr>
        <w:tc>
          <w:tcPr>
            <w:tcW w:type="dxa" w:w="2412"/>
          </w:tcPr>
          <w:p>
            <w:pPr>
              <w:spacing w:before="40" w:after="40"/>
            </w:pPr>
            <w:r>
              <w:rPr>
                <w:b w:val="0"/>
                <w:i w:val="0"/>
                <w:sz w:val="17"/>
              </w:rPr>
              <w:t>Stage 2 — Development</w:t>
            </w:r>
          </w:p>
        </w:tc>
        <w:tc>
          <w:tcPr>
            <w:tcW w:type="dxa" w:w="2412"/>
          </w:tcPr>
          <w:p>
            <w:pPr>
              <w:spacing w:before="40" w:after="40"/>
            </w:pPr>
            <w:r>
              <w:rPr>
                <w:b w:val="0"/>
                <w:i w:val="0"/>
                <w:sz w:val="17"/>
              </w:rPr>
              <w:t>$11,640,000</w:t>
            </w:r>
          </w:p>
        </w:tc>
        <w:tc>
          <w:tcPr>
            <w:tcW w:type="dxa" w:w="2412"/>
          </w:tcPr>
          <w:p>
            <w:pPr>
              <w:spacing w:before="40" w:after="40"/>
            </w:pPr>
            <w:r>
              <w:rPr>
                <w:b w:val="0"/>
                <w:i w:val="0"/>
                <w:sz w:val="17"/>
              </w:rPr>
              <w:t>Gate 1</w:t>
            </w:r>
          </w:p>
        </w:tc>
        <w:tc>
          <w:tcPr>
            <w:tcW w:type="dxa" w:w="2412"/>
          </w:tcPr>
          <w:p>
            <w:pPr>
              <w:spacing w:before="40" w:after="40"/>
            </w:pPr>
            <w:r>
              <w:rPr>
                <w:b w:val="0"/>
                <w:i w:val="0"/>
                <w:sz w:val="17"/>
              </w:rPr>
              <w:t>Released, $4,538,000 spent to date</w:t>
            </w:r>
          </w:p>
        </w:tc>
      </w:tr>
      <w:tr>
        <w:tc>
          <w:tcPr>
            <w:tcW w:type="dxa" w:w="2412"/>
          </w:tcPr>
          <w:p>
            <w:pPr>
              <w:spacing w:before="40" w:after="40"/>
            </w:pPr>
            <w:r>
              <w:rPr>
                <w:b w:val="0"/>
                <w:i w:val="0"/>
                <w:sz w:val="17"/>
              </w:rPr>
              <w:t>Stage 3 — Testing &amp; Validation</w:t>
            </w:r>
          </w:p>
        </w:tc>
        <w:tc>
          <w:tcPr>
            <w:tcW w:type="dxa" w:w="2412"/>
          </w:tcPr>
          <w:p>
            <w:pPr>
              <w:spacing w:before="40" w:after="40"/>
            </w:pPr>
            <w:r>
              <w:rPr>
                <w:b w:val="0"/>
                <w:i w:val="0"/>
                <w:sz w:val="17"/>
              </w:rPr>
              <w:t>$7,450,000</w:t>
            </w:r>
          </w:p>
        </w:tc>
        <w:tc>
          <w:tcPr>
            <w:tcW w:type="dxa" w:w="2412"/>
          </w:tcPr>
          <w:p>
            <w:pPr>
              <w:spacing w:before="40" w:after="40"/>
            </w:pPr>
            <w:r>
              <w:rPr>
                <w:b w:val="0"/>
                <w:i w:val="0"/>
                <w:sz w:val="17"/>
              </w:rPr>
              <w:t>Gate 2</w:t>
            </w:r>
          </w:p>
        </w:tc>
        <w:tc>
          <w:tcPr>
            <w:tcW w:type="dxa" w:w="2412"/>
          </w:tcPr>
          <w:p>
            <w:pPr>
              <w:spacing w:before="40" w:after="40"/>
            </w:pPr>
            <w:r>
              <w:rPr>
                <w:b/>
                <w:i w:val="0"/>
                <w:sz w:val="17"/>
              </w:rPr>
              <w:t>Not released</w:t>
            </w:r>
          </w:p>
        </w:tc>
      </w:tr>
      <w:tr>
        <w:tc>
          <w:tcPr>
            <w:tcW w:type="dxa" w:w="2412"/>
          </w:tcPr>
          <w:p>
            <w:pPr>
              <w:spacing w:before="40" w:after="40"/>
            </w:pPr>
            <w:r>
              <w:rPr>
                <w:b w:val="0"/>
                <w:i w:val="0"/>
                <w:sz w:val="17"/>
              </w:rPr>
              <w:t>Stage 4 — Launch Readiness</w:t>
            </w:r>
          </w:p>
        </w:tc>
        <w:tc>
          <w:tcPr>
            <w:tcW w:type="dxa" w:w="2412"/>
          </w:tcPr>
          <w:p>
            <w:pPr>
              <w:spacing w:before="40" w:after="40"/>
            </w:pPr>
            <w:r>
              <w:rPr>
                <w:b w:val="0"/>
                <w:i w:val="0"/>
                <w:sz w:val="17"/>
              </w:rPr>
              <w:t>$4,330,000</w:t>
            </w:r>
          </w:p>
        </w:tc>
        <w:tc>
          <w:tcPr>
            <w:tcW w:type="dxa" w:w="2412"/>
          </w:tcPr>
          <w:p>
            <w:pPr>
              <w:spacing w:before="40" w:after="40"/>
            </w:pPr>
            <w:r>
              <w:rPr>
                <w:b w:val="0"/>
                <w:i w:val="0"/>
                <w:sz w:val="17"/>
              </w:rPr>
              <w:t>Gate 3</w:t>
            </w:r>
          </w:p>
        </w:tc>
        <w:tc>
          <w:tcPr>
            <w:tcW w:type="dxa" w:w="2412"/>
          </w:tcPr>
          <w:p>
            <w:pPr>
              <w:spacing w:before="40" w:after="40"/>
            </w:pPr>
            <w:r>
              <w:rPr>
                <w:b/>
                <w:i w:val="0"/>
                <w:sz w:val="17"/>
              </w:rPr>
              <w:t>Not released</w:t>
            </w:r>
          </w:p>
        </w:tc>
      </w:tr>
    </w:tbl>
    <w:p/>
    <w:p>
      <w:pPr>
        <w:spacing w:before="280" w:after="80"/>
      </w:pPr>
      <w:r>
        <w:rPr>
          <w:b/>
          <w:i w:val="0"/>
          <w:color w:val="14352A"/>
          <w:sz w:val="28"/>
        </w:rPr>
        <w:t>14. Contingency Reserve &amp; Financial Controls</w:t>
      </w:r>
    </w:p>
    <w:p>
      <w:pPr>
        <w:spacing w:after="120"/>
      </w:pPr>
      <w:r>
        <w:rPr>
          <w:b w:val="0"/>
          <w:i w:val="0"/>
          <w:sz w:val="20"/>
        </w:rPr>
        <w:t xml:space="preserve">The 9.0% gate contingency of $2,304,000 is held by the Gate Review Board, not by the Program Manager (Decision </w:t>
      </w:r>
      <w:r>
        <w:rPr>
          <w:b/>
          <w:i w:val="0"/>
          <w:sz w:val="20"/>
        </w:rPr>
        <w:t>D-09</w:t>
      </w:r>
      <w:r>
        <w:rPr>
          <w:b w:val="0"/>
          <w:i w:val="0"/>
          <w:sz w:val="20"/>
        </w:rPr>
        <w:t>); a draw against it requires a gate decision, not a Program Manager approval. Two draws are recorded to date, totaling $412,000: the Gate 1 recycle loop and the GC-03 external actuarial peer review. Full draw detail, the remaining reserve, and the budget derivation live in the Program Budget.</w:t>
      </w:r>
    </w:p>
    <w:p>
      <w:pPr>
        <w:spacing w:before="280" w:after="80"/>
      </w:pPr>
      <w:r>
        <w:rPr>
          <w:b/>
          <w:i w:val="0"/>
          <w:color w:val="14352A"/>
          <w:sz w:val="28"/>
        </w:rPr>
        <w:t>15. Regulatory &amp; Compliance Framework</w:t>
      </w:r>
    </w:p>
    <w:p>
      <w:pPr>
        <w:spacing w:after="120"/>
      </w:pPr>
      <w:r>
        <w:rPr>
          <w:b w:val="0"/>
          <w:i w:val="0"/>
          <w:sz w:val="20"/>
        </w:rPr>
        <w:t xml:space="preserve">Filing runs primarily through the </w:t>
      </w:r>
      <w:r>
        <w:rPr>
          <w:b/>
          <w:i w:val="0"/>
          <w:sz w:val="20"/>
        </w:rPr>
        <w:t>IIPRC</w:t>
      </w:r>
      <w:r>
        <w:rPr>
          <w:b w:val="0"/>
          <w:i w:val="0"/>
          <w:sz w:val="20"/>
        </w:rPr>
        <w:t xml:space="preserve"> (the Interstate Insurance Product Regulation Commission, “the Compact”), with California and Florida filed separately through </w:t>
      </w:r>
      <w:r>
        <w:rPr>
          <w:b/>
          <w:i w:val="0"/>
          <w:sz w:val="20"/>
        </w:rPr>
        <w:t>SERFF</w:t>
      </w:r>
      <w:r>
        <w:rPr>
          <w:b w:val="0"/>
          <w:i w:val="0"/>
          <w:sz w:val="20"/>
        </w:rPr>
        <w:t xml:space="preserve"> and New York excluded from launch scope entirely. Advisor conduct is governed by the </w:t>
      </w:r>
      <w:r>
        <w:rPr>
          <w:b/>
          <w:i w:val="0"/>
          <w:sz w:val="20"/>
        </w:rPr>
        <w:t>NAIC Suitability in Annuity Transactions Model Regulation (#275)</w:t>
      </w:r>
      <w:r>
        <w:rPr>
          <w:b w:val="0"/>
          <w:i w:val="0"/>
          <w:sz w:val="20"/>
        </w:rPr>
        <w:t xml:space="preserve">. The full regulatory grounding, including why an FIA rather than a RILA keeps this program out of SEC/FINRA scope, is set out in the </w:t>
      </w:r>
      <w:r>
        <w:rPr>
          <w:b w:val="0"/>
          <w:i w:val="0"/>
          <w:sz w:val="20"/>
        </w:rPr>
        <w:t>Methodology Guide</w:t>
      </w:r>
      <w:r>
        <w:rPr>
          <w:b w:val="0"/>
          <w:i w:val="0"/>
          <w:sz w:val="20"/>
        </w:rPr>
        <w:t xml:space="preserve"> §4.</w:t>
      </w:r>
    </w:p>
    <w:p>
      <w:pPr>
        <w:spacing w:before="280" w:after="80"/>
      </w:pPr>
      <w:r>
        <w:rPr>
          <w:b/>
          <w:i w:val="0"/>
          <w:color w:val="14352A"/>
          <w:sz w:val="28"/>
        </w:rPr>
        <w:t>16. High-Level Risk Assessment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Risk</w:t>
            </w:r>
          </w:p>
        </w:tc>
      </w:tr>
      <w:tr>
        <w:tc>
          <w:tcPr>
            <w:tcW w:type="dxa" w:w="4824"/>
          </w:tcPr>
          <w:p>
            <w:pPr>
              <w:spacing w:before="40" w:after="40"/>
            </w:pPr>
            <w:r>
              <w:rPr>
                <w:b/>
                <w:i w:val="0"/>
                <w:sz w:val="17"/>
              </w:rPr>
              <w:t>R-01</w:t>
            </w:r>
          </w:p>
        </w:tc>
        <w:tc>
          <w:tcPr>
            <w:tcW w:type="dxa" w:w="4824"/>
          </w:tcPr>
          <w:p>
            <w:pPr>
              <w:spacing w:before="40" w:after="40"/>
            </w:pPr>
            <w:r>
              <w:rPr>
                <w:b w:val="0"/>
                <w:i w:val="0"/>
                <w:sz w:val="17"/>
              </w:rPr>
              <w:t>IIPRC review extends past the standard clock over the GLWB rider feature</w:t>
            </w:r>
          </w:p>
        </w:tc>
      </w:tr>
      <w:tr>
        <w:tc>
          <w:tcPr>
            <w:tcW w:type="dxa" w:w="4824"/>
          </w:tcPr>
          <w:p>
            <w:pPr>
              <w:spacing w:before="40" w:after="40"/>
            </w:pPr>
            <w:r>
              <w:rPr>
                <w:b/>
                <w:i w:val="0"/>
                <w:sz w:val="17"/>
              </w:rPr>
              <w:t>R-05</w:t>
            </w:r>
          </w:p>
        </w:tc>
        <w:tc>
          <w:tcPr>
            <w:tcW w:type="dxa" w:w="4824"/>
          </w:tcPr>
          <w:p>
            <w:pPr>
              <w:spacing w:before="40" w:after="40"/>
            </w:pPr>
            <w:r>
              <w:rPr>
                <w:b w:val="0"/>
                <w:i w:val="0"/>
                <w:sz w:val="17"/>
              </w:rPr>
              <w:t>Hedging readiness (ISDA, derivatives ops, daily rebalance) lags launch</w:t>
            </w:r>
          </w:p>
        </w:tc>
      </w:tr>
      <w:tr>
        <w:tc>
          <w:tcPr>
            <w:tcW w:type="dxa" w:w="4824"/>
          </w:tcPr>
          <w:p>
            <w:pPr>
              <w:spacing w:before="40" w:after="40"/>
            </w:pPr>
            <w:r>
              <w:rPr>
                <w:b/>
                <w:i w:val="0"/>
                <w:sz w:val="17"/>
              </w:rPr>
              <w:t>R-06</w:t>
            </w:r>
          </w:p>
        </w:tc>
        <w:tc>
          <w:tcPr>
            <w:tcW w:type="dxa" w:w="4824"/>
          </w:tcPr>
          <w:p>
            <w:pPr>
              <w:spacing w:before="40" w:after="40"/>
            </w:pPr>
            <w:r>
              <w:rPr>
                <w:b w:val="0"/>
                <w:i w:val="0"/>
                <w:sz w:val="17"/>
              </w:rPr>
              <w:t>Pricing assumptions prove unsupportable under external peer review</w:t>
            </w:r>
          </w:p>
        </w:tc>
      </w:tr>
      <w:tr>
        <w:tc>
          <w:tcPr>
            <w:tcW w:type="dxa" w:w="4824"/>
          </w:tcPr>
          <w:p>
            <w:pPr>
              <w:spacing w:before="40" w:after="40"/>
            </w:pPr>
            <w:r>
              <w:rPr>
                <w:b/>
                <w:i w:val="0"/>
                <w:sz w:val="17"/>
              </w:rPr>
              <w:t>R-08</w:t>
            </w:r>
          </w:p>
        </w:tc>
        <w:tc>
          <w:tcPr>
            <w:tcW w:type="dxa" w:w="4824"/>
          </w:tcPr>
          <w:p>
            <w:pPr>
              <w:spacing w:before="40" w:after="40"/>
            </w:pPr>
            <w:r>
              <w:rPr>
                <w:b w:val="0"/>
                <w:i w:val="0"/>
                <w:sz w:val="17"/>
              </w:rPr>
              <w:t>Illustration engine cannot produce compliant hypothetical illustrations inside the filing window</w:t>
            </w:r>
          </w:p>
        </w:tc>
      </w:tr>
      <w:tr>
        <w:tc>
          <w:tcPr>
            <w:tcW w:type="dxa" w:w="4824"/>
          </w:tcPr>
          <w:p>
            <w:pPr>
              <w:spacing w:before="40" w:after="40"/>
            </w:pPr>
            <w:r>
              <w:rPr>
                <w:b/>
                <w:i w:val="0"/>
                <w:sz w:val="17"/>
              </w:rPr>
              <w:t>R-09</w:t>
            </w:r>
          </w:p>
        </w:tc>
        <w:tc>
          <w:tcPr>
            <w:tcW w:type="dxa" w:w="4824"/>
          </w:tcPr>
          <w:p>
            <w:pPr>
              <w:spacing w:before="40" w:after="40"/>
            </w:pPr>
            <w:r>
              <w:rPr>
                <w:b w:val="0"/>
                <w:i w:val="0"/>
                <w:sz w:val="17"/>
              </w:rPr>
              <w:t>Statutory reserve and capital treatment heavier than modeled, degrading IRR</w:t>
            </w:r>
          </w:p>
        </w:tc>
      </w:tr>
      <w:tr>
        <w:tc>
          <w:tcPr>
            <w:tcW w:type="dxa" w:w="4824"/>
          </w:tcPr>
          <w:p>
            <w:pPr>
              <w:spacing w:before="40" w:after="40"/>
            </w:pPr>
            <w:r>
              <w:rPr>
                <w:b/>
                <w:i w:val="0"/>
                <w:sz w:val="17"/>
              </w:rPr>
              <w:t>R-10</w:t>
            </w:r>
          </w:p>
        </w:tc>
        <w:tc>
          <w:tcPr>
            <w:tcW w:type="dxa" w:w="4824"/>
          </w:tcPr>
          <w:p>
            <w:pPr>
              <w:spacing w:before="40" w:after="40"/>
            </w:pPr>
            <w:r>
              <w:rPr>
                <w:b w:val="0"/>
                <w:i w:val="0"/>
                <w:sz w:val="17"/>
              </w:rPr>
              <w:t>Single credentialed pricing actuary sits on the critical path</w:t>
            </w:r>
          </w:p>
        </w:tc>
      </w:tr>
    </w:tbl>
    <w:p/>
    <w:p>
      <w:pPr>
        <w:spacing w:after="120"/>
      </w:pPr>
      <w:r>
        <w:rPr>
          <w:b w:val="0"/>
          <w:i w:val="0"/>
          <w:sz w:val="20"/>
        </w:rPr>
        <w:t>Twelve risks in total are tracked, alongside eight assumptions, six issues, seven dependencies and eleven decisions, in the program's RAIDD log — identified and numbered up front, not opened reactively as they surfaced.</w:t>
      </w:r>
    </w:p>
    <w:p>
      <w:pPr>
        <w:spacing w:before="280" w:after="80"/>
      </w:pPr>
      <w:r>
        <w:rPr>
          <w:b/>
          <w:i w:val="0"/>
          <w:color w:val="14352A"/>
          <w:sz w:val="28"/>
        </w:rPr>
        <w:t>17. Assumptions</w:t>
      </w:r>
    </w:p>
    <w:p>
      <w:pPr>
        <w:pStyle w:val="ListBullet"/>
        <w:spacing w:after="60"/>
      </w:pPr>
      <w:r>
        <w:rPr>
          <w:b/>
          <w:i w:val="0"/>
          <w:sz w:val="20"/>
        </w:rPr>
        <w:t>A-01</w:t>
      </w:r>
      <w:r>
        <w:rPr>
          <w:b w:val="0"/>
          <w:i w:val="0"/>
          <w:sz w:val="20"/>
        </w:rPr>
        <w:t xml:space="preserve"> — the carrier is licensed and in good standing across all 46 target states through launch.</w:t>
      </w:r>
    </w:p>
    <w:p>
      <w:pPr>
        <w:pStyle w:val="ListBullet"/>
        <w:spacing w:after="60"/>
      </w:pPr>
      <w:r>
        <w:rPr>
          <w:b/>
          <w:i w:val="0"/>
          <w:sz w:val="20"/>
        </w:rPr>
        <w:t>A-02</w:t>
      </w:r>
      <w:r>
        <w:rPr>
          <w:b w:val="0"/>
          <w:i w:val="0"/>
          <w:sz w:val="20"/>
        </w:rPr>
        <w:t xml:space="preserve"> — the Compact accepts the product under existing uniform standards; no new standard needed.</w:t>
      </w:r>
    </w:p>
    <w:p>
      <w:pPr>
        <w:pStyle w:val="ListBullet"/>
        <w:spacing w:after="60"/>
      </w:pPr>
      <w:r>
        <w:rPr>
          <w:b/>
          <w:i w:val="0"/>
          <w:sz w:val="20"/>
        </w:rPr>
        <w:t>A-03</w:t>
      </w:r>
      <w:r>
        <w:rPr>
          <w:b w:val="0"/>
          <w:i w:val="0"/>
          <w:sz w:val="20"/>
        </w:rPr>
        <w:t xml:space="preserve"> — New York is out of launch scope.</w:t>
      </w:r>
    </w:p>
    <w:p>
      <w:pPr>
        <w:pStyle w:val="ListBullet"/>
        <w:spacing w:after="60"/>
      </w:pPr>
      <w:r>
        <w:rPr>
          <w:b/>
          <w:i w:val="0"/>
          <w:sz w:val="20"/>
        </w:rPr>
        <w:t>A-04</w:t>
      </w:r>
      <w:r>
        <w:rPr>
          <w:b w:val="0"/>
          <w:i w:val="0"/>
          <w:sz w:val="20"/>
        </w:rPr>
        <w:t xml:space="preserve"> — the existing admin platform is extended, not replaced.</w:t>
      </w:r>
    </w:p>
    <w:p>
      <w:pPr>
        <w:pStyle w:val="ListBullet"/>
        <w:spacing w:after="60"/>
      </w:pPr>
      <w:r>
        <w:rPr>
          <w:b/>
          <w:i w:val="0"/>
          <w:sz w:val="20"/>
        </w:rPr>
        <w:t>A-05</w:t>
      </w:r>
      <w:r>
        <w:rPr>
          <w:b w:val="0"/>
          <w:i w:val="0"/>
          <w:sz w:val="20"/>
        </w:rPr>
        <w:t xml:space="preserve"> — distribution runs through existing IMO/broker-dealer relationships; no new channel.</w:t>
      </w:r>
    </w:p>
    <w:p>
      <w:pPr>
        <w:pStyle w:val="ListBullet"/>
        <w:spacing w:after="60"/>
      </w:pPr>
      <w:r>
        <w:rPr>
          <w:b/>
          <w:i w:val="0"/>
          <w:sz w:val="20"/>
        </w:rPr>
        <w:t>A-06</w:t>
      </w:r>
      <w:r>
        <w:rPr>
          <w:b w:val="0"/>
          <w:i w:val="0"/>
          <w:sz w:val="20"/>
        </w:rPr>
        <w:t xml:space="preserve"> — hedging is executed by the in-house Investments desk.</w:t>
      </w:r>
    </w:p>
    <w:p>
      <w:pPr>
        <w:pStyle w:val="ListBullet"/>
        <w:spacing w:after="60"/>
      </w:pPr>
      <w:r>
        <w:rPr>
          <w:b/>
          <w:i w:val="0"/>
          <w:sz w:val="20"/>
        </w:rPr>
        <w:t>A-07</w:t>
      </w:r>
      <w:r>
        <w:rPr>
          <w:b w:val="0"/>
          <w:i w:val="0"/>
          <w:sz w:val="20"/>
        </w:rPr>
        <w:t xml:space="preserve"> — rates stay inside the Gate 1 pricing corridor.</w:t>
      </w:r>
    </w:p>
    <w:p>
      <w:pPr>
        <w:pStyle w:val="ListBullet"/>
        <w:spacing w:after="60"/>
      </w:pPr>
      <w:r>
        <w:rPr>
          <w:b/>
          <w:i w:val="0"/>
          <w:sz w:val="20"/>
        </w:rPr>
        <w:t>A-08</w:t>
      </w:r>
      <w:r>
        <w:rPr>
          <w:b w:val="0"/>
          <w:i w:val="0"/>
          <w:sz w:val="20"/>
        </w:rPr>
        <w:t xml:space="preserve"> — no competing internal launch draws the same actuarial and IT people in 2027.</w:t>
      </w:r>
    </w:p>
    <w:p>
      <w:pPr>
        <w:spacing w:before="280" w:after="80"/>
      </w:pPr>
      <w:r>
        <w:rPr>
          <w:b/>
          <w:i w:val="0"/>
          <w:color w:val="14352A"/>
          <w:sz w:val="28"/>
        </w:rPr>
        <w:t>18. Constraints</w:t>
      </w:r>
    </w:p>
    <w:p>
      <w:pPr>
        <w:pStyle w:val="ListBullet"/>
        <w:spacing w:after="60"/>
      </w:pPr>
      <w:r>
        <w:rPr>
          <w:b w:val="0"/>
          <w:i w:val="0"/>
          <w:sz w:val="20"/>
        </w:rPr>
        <w:t>Launch date is fixed at 06 March 2028 regardless of upstream schedule slippage; the Gate 1 recycle compressed Stage 2 from a planned 46 weeks to 40 rather than moving launch.</w:t>
      </w:r>
    </w:p>
    <w:p>
      <w:pPr>
        <w:pStyle w:val="ListBullet"/>
        <w:spacing w:after="60"/>
      </w:pPr>
      <w:r>
        <w:rPr>
          <w:b w:val="0"/>
          <w:i w:val="0"/>
          <w:sz w:val="20"/>
        </w:rPr>
        <w:t>The incumbent annuity administration platform and illustration engine must be extended, not replaced (</w:t>
      </w:r>
      <w:r>
        <w:rPr>
          <w:b/>
          <w:i w:val="0"/>
          <w:sz w:val="20"/>
        </w:rPr>
        <w:t>D-04, D-07</w:t>
      </w:r>
      <w:r>
        <w:rPr>
          <w:b w:val="0"/>
          <w:i w:val="0"/>
          <w:sz w:val="20"/>
        </w:rPr>
        <w:t>).</w:t>
      </w:r>
    </w:p>
    <w:p>
      <w:pPr>
        <w:pStyle w:val="ListBullet"/>
        <w:spacing w:after="60"/>
      </w:pPr>
      <w:r>
        <w:rPr>
          <w:b w:val="0"/>
          <w:i w:val="0"/>
          <w:sz w:val="20"/>
        </w:rPr>
        <w:t>Hedging must be executed in-house by the Investments desk, or a costed alternative presented (</w:t>
      </w:r>
      <w:r>
        <w:rPr>
          <w:b/>
          <w:i w:val="0"/>
          <w:sz w:val="20"/>
        </w:rPr>
        <w:t>D-08</w:t>
      </w:r>
      <w:r>
        <w:rPr>
          <w:b w:val="0"/>
          <w:i w:val="0"/>
          <w:sz w:val="20"/>
        </w:rPr>
        <w:t>).</w:t>
      </w:r>
    </w:p>
    <w:p>
      <w:pPr>
        <w:pStyle w:val="ListBullet"/>
        <w:spacing w:after="60"/>
      </w:pPr>
      <w:r>
        <w:rPr>
          <w:b w:val="0"/>
          <w:i w:val="0"/>
          <w:sz w:val="20"/>
        </w:rPr>
        <w:t>The gate contingency reserve is controlled by the Board, not spendable by the Program Manager without a gate decision (</w:t>
      </w:r>
      <w:r>
        <w:rPr>
          <w:b/>
          <w:i w:val="0"/>
          <w:sz w:val="20"/>
        </w:rPr>
        <w:t>D-09</w:t>
      </w:r>
      <w:r>
        <w:rPr>
          <w:b w:val="0"/>
          <w:i w:val="0"/>
          <w:sz w:val="20"/>
        </w:rPr>
        <w:t>).</w:t>
      </w:r>
    </w:p>
    <w:p>
      <w:pPr>
        <w:pStyle w:val="ListBullet"/>
        <w:spacing w:after="60"/>
      </w:pPr>
      <w:r>
        <w:rPr>
          <w:b w:val="0"/>
          <w:i w:val="0"/>
          <w:sz w:val="20"/>
        </w:rPr>
        <w:t>No stage's funding may be spent before its own gate releases it, regardless of confidence in the outcome of the gate ahead.</w:t>
      </w:r>
    </w:p>
    <w:p>
      <w:pPr>
        <w:spacing w:before="280" w:after="80"/>
      </w:pPr>
      <w:r>
        <w:rPr>
          <w:b/>
          <w:i w:val="0"/>
          <w:color w:val="14352A"/>
          <w:sz w:val="28"/>
        </w:rPr>
        <w:t>19. Dependencies</w:t>
      </w:r>
    </w:p>
    <w:p>
      <w:pPr>
        <w:pStyle w:val="ListBullet"/>
        <w:spacing w:after="60"/>
      </w:pPr>
      <w:r>
        <w:rPr>
          <w:b/>
          <w:i w:val="0"/>
          <w:sz w:val="20"/>
        </w:rPr>
        <w:t>DEP-01</w:t>
      </w:r>
      <w:r>
        <w:rPr>
          <w:b w:val="0"/>
          <w:i w:val="0"/>
          <w:sz w:val="20"/>
        </w:rPr>
        <w:t xml:space="preserve"> — the IIPRC review clock, an external regulator, cannot be compressed.</w:t>
      </w:r>
    </w:p>
    <w:p>
      <w:pPr>
        <w:pStyle w:val="ListBullet"/>
        <w:spacing w:after="60"/>
      </w:pPr>
      <w:r>
        <w:rPr>
          <w:b/>
          <w:i w:val="0"/>
          <w:sz w:val="20"/>
        </w:rPr>
        <w:t>DEP-02</w:t>
      </w:r>
      <w:r>
        <w:rPr>
          <w:b w:val="0"/>
          <w:i w:val="0"/>
          <w:sz w:val="20"/>
        </w:rPr>
        <w:t xml:space="preserve"> — California and Florida department review, separate SERFF filings.</w:t>
      </w:r>
    </w:p>
    <w:p>
      <w:pPr>
        <w:pStyle w:val="ListBullet"/>
        <w:spacing w:after="60"/>
      </w:pPr>
      <w:r>
        <w:rPr>
          <w:b/>
          <w:i w:val="0"/>
          <w:sz w:val="20"/>
        </w:rPr>
        <w:t>DEP-03</w:t>
      </w:r>
      <w:r>
        <w:rPr>
          <w:b w:val="0"/>
          <w:i w:val="0"/>
          <w:sz w:val="20"/>
        </w:rPr>
        <w:t xml:space="preserve"> — Cordelane's quarterly configuration windows.</w:t>
      </w:r>
    </w:p>
    <w:p>
      <w:pPr>
        <w:pStyle w:val="ListBullet"/>
        <w:spacing w:after="60"/>
      </w:pPr>
      <w:r>
        <w:rPr>
          <w:b/>
          <w:i w:val="0"/>
          <w:sz w:val="20"/>
        </w:rPr>
        <w:t>DEP-04</w:t>
      </w:r>
      <w:r>
        <w:rPr>
          <w:b w:val="0"/>
          <w:i w:val="0"/>
          <w:sz w:val="20"/>
        </w:rPr>
        <w:t xml:space="preserve"> — the Calder index licensing agreement.</w:t>
      </w:r>
    </w:p>
    <w:p>
      <w:pPr>
        <w:pStyle w:val="ListBullet"/>
        <w:spacing w:after="60"/>
      </w:pPr>
      <w:r>
        <w:rPr>
          <w:b/>
          <w:i w:val="0"/>
          <w:sz w:val="20"/>
        </w:rPr>
        <w:t>DEP-05</w:t>
      </w:r>
      <w:r>
        <w:rPr>
          <w:b w:val="0"/>
          <w:i w:val="0"/>
          <w:sz w:val="20"/>
        </w:rPr>
        <w:t xml:space="preserve"> — the Halverson Re term sheet for GLWB risk transfer.</w:t>
      </w:r>
    </w:p>
    <w:p>
      <w:pPr>
        <w:pStyle w:val="ListBullet"/>
        <w:spacing w:after="60"/>
      </w:pPr>
      <w:r>
        <w:rPr>
          <w:b/>
          <w:i w:val="0"/>
          <w:sz w:val="20"/>
        </w:rPr>
        <w:t>DEP-06</w:t>
      </w:r>
      <w:r>
        <w:rPr>
          <w:b w:val="0"/>
          <w:i w:val="0"/>
          <w:sz w:val="20"/>
        </w:rPr>
        <w:t xml:space="preserve"> — ISDA/CSA execution with two derivatives counterparties.</w:t>
      </w:r>
    </w:p>
    <w:p>
      <w:pPr>
        <w:pStyle w:val="ListBullet"/>
        <w:spacing w:after="60"/>
      </w:pPr>
      <w:r>
        <w:rPr>
          <w:b/>
          <w:i w:val="0"/>
          <w:sz w:val="20"/>
        </w:rPr>
        <w:t>DEP-07</w:t>
      </w:r>
      <w:r>
        <w:rPr>
          <w:b w:val="0"/>
          <w:i w:val="0"/>
          <w:sz w:val="20"/>
        </w:rPr>
        <w:t xml:space="preserve"> — Corporate Actuarial's annual assumption refresh, which feeds Gate 2 re-pricing.</w:t>
      </w:r>
    </w:p>
    <w:p>
      <w:pPr>
        <w:spacing w:before="280" w:after="80"/>
      </w:pPr>
      <w:r>
        <w:rPr>
          <w:b/>
          <w:i w:val="0"/>
          <w:color w:val="14352A"/>
          <w:sz w:val="28"/>
        </w:rPr>
        <w:t>20. What This Charter Does Not Authorize</w:t>
      </w:r>
    </w:p>
    <w:p>
      <w:pPr>
        <w:spacing w:after="120"/>
      </w:pPr>
      <w:r>
        <w:rPr>
          <w:b w:val="0"/>
          <w:i w:val="0"/>
          <w:sz w:val="20"/>
        </w:rPr>
        <w:t>A conventional program charter authorizes the full program in one act. This one deliberately does not, and that restraint is the point of chartering a stage-gate program at all.</w:t>
      </w:r>
    </w:p>
    <w:tbl>
      <w:tblPr>
        <w:tblStyle w:val="TableGrid"/>
        <w:tblW w:type="auto" w:w="0"/>
        <w:tblLook w:firstColumn="1" w:firstRow="1" w:lastColumn="0" w:lastRow="0" w:noHBand="0" w:noVBand="1" w:val="04A0"/>
      </w:tblPr>
      <w:tblGrid>
        <w:gridCol w:w="9648"/>
      </w:tblGrid>
      <w:tr>
        <w:tc>
          <w:tcPr>
            <w:tcW w:type="dxa" w:w="9648"/>
            <w:shd w:val="clear" w:fill="FDF3DF"/>
          </w:tcPr>
          <w:p>
            <w:pPr>
              <w:pStyle w:val="ListBullet"/>
              <w:spacing w:after="60"/>
            </w:pPr>
            <w:r>
              <w:rPr>
                <w:b w:val="0"/>
                <w:i w:val="0"/>
                <w:sz w:val="20"/>
              </w:rPr>
              <w:t xml:space="preserve">It does </w:t>
            </w:r>
            <w:r>
              <w:rPr>
                <w:b/>
                <w:i w:val="0"/>
                <w:sz w:val="20"/>
              </w:rPr>
              <w:t>not</w:t>
            </w:r>
            <w:r>
              <w:rPr>
                <w:b w:val="0"/>
                <w:i w:val="0"/>
                <w:sz w:val="20"/>
              </w:rPr>
              <w:t xml:space="preserve"> authorize Stage 3 or Stage 4 spend — $11,780,000 combined — ahead of Gates 2 and 3 releasing them.</w:t>
            </w:r>
          </w:p>
          <w:p>
            <w:pPr>
              <w:pStyle w:val="ListBullet"/>
              <w:spacing w:after="60"/>
            </w:pPr>
            <w:r>
              <w:rPr>
                <w:b w:val="0"/>
                <w:i w:val="0"/>
                <w:sz w:val="20"/>
              </w:rPr>
              <w:t xml:space="preserve">It does </w:t>
            </w:r>
            <w:r>
              <w:rPr>
                <w:b/>
                <w:i w:val="0"/>
                <w:sz w:val="20"/>
              </w:rPr>
              <w:t>not</w:t>
            </w:r>
            <w:r>
              <w:rPr>
                <w:b w:val="0"/>
                <w:i w:val="0"/>
                <w:sz w:val="20"/>
              </w:rPr>
              <w:t xml:space="preserve"> guarantee launch. Every gate can return </w:t>
            </w:r>
            <w:r>
              <w:rPr>
                <w:b/>
                <w:i w:val="0"/>
                <w:sz w:val="20"/>
              </w:rPr>
              <w:t>RECYCLE</w:t>
            </w:r>
            <w:r>
              <w:rPr>
                <w:b w:val="0"/>
                <w:i w:val="0"/>
                <w:sz w:val="20"/>
              </w:rPr>
              <w:t xml:space="preserve">, </w:t>
            </w:r>
            <w:r>
              <w:rPr>
                <w:b/>
                <w:i w:val="0"/>
                <w:sz w:val="20"/>
              </w:rPr>
              <w:t>HOLD</w:t>
            </w:r>
            <w:r>
              <w:rPr>
                <w:b w:val="0"/>
                <w:i w:val="0"/>
                <w:sz w:val="20"/>
              </w:rPr>
              <w:t xml:space="preserve"> or </w:t>
            </w:r>
            <w:r>
              <w:rPr>
                <w:b/>
                <w:i w:val="0"/>
                <w:sz w:val="20"/>
              </w:rPr>
              <w:t>CANCEL</w:t>
            </w:r>
            <w:r>
              <w:rPr>
                <w:b w:val="0"/>
                <w:i w:val="0"/>
                <w:sz w:val="20"/>
              </w:rPr>
              <w:t>, and Gate 1 already returned RECYCLE once.</w:t>
            </w:r>
          </w:p>
          <w:p>
            <w:pPr>
              <w:pStyle w:val="ListBullet"/>
              <w:spacing w:after="60"/>
            </w:pPr>
            <w:r>
              <w:rPr>
                <w:b w:val="0"/>
                <w:i w:val="0"/>
                <w:sz w:val="20"/>
              </w:rPr>
              <w:t xml:space="preserve">It does </w:t>
            </w:r>
            <w:r>
              <w:rPr>
                <w:b/>
                <w:i w:val="0"/>
                <w:sz w:val="20"/>
              </w:rPr>
              <w:t>not</w:t>
            </w:r>
            <w:r>
              <w:rPr>
                <w:b w:val="0"/>
                <w:i w:val="0"/>
                <w:sz w:val="20"/>
              </w:rPr>
              <w:t xml:space="preserve"> establish a full-program earned value baseline (</w:t>
            </w:r>
            <w:r>
              <w:rPr>
                <w:b/>
                <w:i w:val="0"/>
                <w:sz w:val="20"/>
              </w:rPr>
              <w:t>D-10</w:t>
            </w:r>
            <w:r>
              <w:rPr>
                <w:b w:val="0"/>
                <w:i w:val="0"/>
                <w:sz w:val="20"/>
              </w:rPr>
              <w:t xml:space="preserve">) — see the </w:t>
            </w:r>
            <w:r>
              <w:rPr>
                <w:b w:val="0"/>
                <w:i w:val="0"/>
                <w:sz w:val="20"/>
              </w:rPr>
              <w:t>Methodology Guide</w:t>
            </w:r>
            <w:r>
              <w:rPr>
                <w:b w:val="0"/>
                <w:i w:val="0"/>
                <w:sz w:val="20"/>
              </w:rPr>
              <w:t xml:space="preserve"> §5 for why that is structural, not an omission.</w:t>
            </w:r>
          </w:p>
          <w:p>
            <w:pPr>
              <w:pStyle w:val="ListBullet"/>
              <w:spacing w:after="60"/>
            </w:pPr>
            <w:r>
              <w:rPr>
                <w:b w:val="0"/>
                <w:i w:val="0"/>
                <w:sz w:val="20"/>
              </w:rPr>
              <w:t xml:space="preserve">It does </w:t>
            </w:r>
            <w:r>
              <w:rPr>
                <w:b/>
                <w:i w:val="0"/>
                <w:sz w:val="20"/>
              </w:rPr>
              <w:t>not</w:t>
            </w:r>
            <w:r>
              <w:rPr>
                <w:b w:val="0"/>
                <w:i w:val="0"/>
                <w:sz w:val="20"/>
              </w:rPr>
              <w:t xml:space="preserve"> fix the should-meet criteria for gates beyond the next one — those are set at the prior gate, never in advance, so a team cannot be judged against a bar invented after the money is spent.</w:t>
            </w:r>
          </w:p>
        </w:tc>
      </w:tr>
    </w:tbl>
    <w:p/>
    <w:p>
      <w:pPr>
        <w:spacing w:after="120"/>
      </w:pPr>
      <w:r>
        <w:rPr>
          <w:b w:val="0"/>
          <w:i w:val="0"/>
          <w:sz w:val="20"/>
        </w:rPr>
        <w:t>What it does authorize is narrower and, the program's sponsors would argue, more honest: a governed process by which each of those things can be earned, gate by gate, on evidence.</w:t>
      </w:r>
    </w:p>
    <w:p>
      <w:pPr>
        <w:spacing w:before="280" w:after="80"/>
      </w:pPr>
      <w:r>
        <w:rPr>
          <w:b/>
          <w:i w:val="0"/>
          <w:color w:val="14352A"/>
          <w:sz w:val="28"/>
        </w:rPr>
        <w:t>21. Document Control &amp; Related Documents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Chartered at the Gate 1 second convening, following the GO WITH CONDITIONS decision (4–0–1).</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No change to authorization. Current program status is tracked in the Gate 2 Readiness Assessment and the Gate Conditions Register, not here.</w:t>
            </w:r>
          </w:p>
        </w:tc>
      </w:tr>
    </w:tbl>
    <w:p/>
    <w:p>
      <w:pPr>
        <w:spacing w:after="120"/>
      </w:pPr>
      <w:r>
        <w:rPr>
          <w:b/>
          <w:i w:val="0"/>
          <w:sz w:val="20"/>
        </w:rPr>
        <w:t>Related documents:</w:t>
      </w:r>
      <w:r>
        <w:rPr>
          <w:sz w:val="20"/>
        </w:rPr>
        <w:t xml:space="preserve"> </w:t>
      </w:r>
      <w:r>
        <w:rPr>
          <w:b w:val="0"/>
          <w:i w:val="0"/>
          <w:sz w:val="20"/>
        </w:rPr>
        <w:t>Stage-Gate Governance Model &amp; Gate Review Board Charter</w:t>
      </w:r>
      <w:r>
        <w:rPr>
          <w:b w:val="0"/>
          <w:i w:val="0"/>
          <w:sz w:val="20"/>
        </w:rPr>
        <w:t xml:space="preserve"> · </w:t>
      </w:r>
      <w:r>
        <w:rPr>
          <w:b w:val="0"/>
          <w:i w:val="0"/>
          <w:sz w:val="20"/>
        </w:rPr>
        <w:t>Gate Decision Framework</w:t>
      </w:r>
      <w:r>
        <w:rPr>
          <w:b w:val="0"/>
          <w:i w:val="0"/>
          <w:sz w:val="20"/>
        </w:rPr>
        <w:t xml:space="preserve"> · </w:t>
      </w:r>
      <w:r>
        <w:rPr>
          <w:b w:val="0"/>
          <w:i w:val="0"/>
          <w:sz w:val="20"/>
        </w:rPr>
        <w:t>Gate 1 Business Case Package</w:t>
      </w:r>
      <w:r>
        <w:rPr>
          <w:b w:val="0"/>
          <w:i w:val="0"/>
          <w:sz w:val="20"/>
        </w:rPr>
        <w:t xml:space="preserve"> · </w:t>
      </w:r>
      <w:r>
        <w:rPr>
          <w:b w:val="0"/>
          <w:i w:val="0"/>
          <w:sz w:val="20"/>
        </w:rPr>
        <w:t>Gate Conditions Register</w:t>
      </w:r>
      <w:r>
        <w:rPr>
          <w:b w:val="0"/>
          <w:i w:val="0"/>
          <w:sz w:val="20"/>
        </w:rPr>
        <w:t xml:space="preserve"> · </w:t>
      </w:r>
      <w:r>
        <w:rPr>
          <w:b w:val="0"/>
          <w:i w:val="0"/>
          <w:sz w:val="20"/>
        </w:rPr>
        <w:t>Gate 2 Readiness Assessment</w:t>
      </w:r>
      <w:r>
        <w:rPr>
          <w:b w:val="0"/>
          <w:i w:val="0"/>
          <w:sz w:val="20"/>
        </w:rPr>
        <w:t xml:space="preserve"> · </w:t>
      </w:r>
      <w:r>
        <w:rPr>
          <w:b w:val="0"/>
          <w:i w:val="0"/>
          <w:sz w:val="20"/>
        </w:rPr>
        <w:t>Stage-Gate Methodology Guide</w:t>
      </w:r>
      <w:r>
        <w:rPr>
          <w:b w:val="0"/>
          <w:i w:val="0"/>
          <w:sz w:val="20"/>
        </w:rPr>
        <w:t>.</w:t>
      </w:r>
    </w:p>
    <w:p>
      <w:pPr>
        <w:spacing w:before="280" w:after="80"/>
      </w:pPr>
      <w:r>
        <w:rPr>
          <w:b/>
          <w:i w:val="0"/>
          <w:color w:val="14352A"/>
          <w:sz w:val="28"/>
        </w:rPr>
        <w:t>22. Approval</w:t>
      </w:r>
    </w:p>
    <w:p>
      <w:pPr>
        <w:spacing w:after="120"/>
      </w:pPr>
      <w:r>
        <w:rPr>
          <w:b w:val="0"/>
          <w:i w:val="0"/>
          <w:sz w:val="20"/>
        </w:rPr>
        <w:t>This charter authorizes the NPD Program Manager to proceed with the program as described above, within the authority defined at §9, and subject to the tranche-by-tranche funding release mechanism at §13.</w:t>
      </w:r>
    </w:p>
    <w:p>
      <w:pPr>
        <w:spacing w:after="120"/>
      </w:pPr>
      <w:r>
        <w:rPr>
          <w:b w:val="0"/>
          <w:i w:val="0"/>
          <w:sz w:val="20"/>
        </w:rPr>
        <w:t>G. Marchetti, Chief Product Officer &amp; Executive Sponsor</w:t>
      </w:r>
    </w:p>
    <w:p>
      <w:pPr>
        <w:spacing w:after="120"/>
      </w:pPr>
      <w:r>
        <w:rPr>
          <w:b w:val="0"/>
          <w:i w:val="0"/>
          <w:sz w:val="20"/>
        </w:rPr>
        <w:t>B. Lindqvist, General Counsel &amp; Chief Compliance Officer</w:t>
      </w:r>
    </w:p>
    <w:p>
      <w:pPr>
        <w:spacing w:after="120"/>
      </w:pPr>
      <w:r>
        <w:rPr>
          <w:b w:val="0"/>
          <w:i w:val="0"/>
          <w:sz w:val="20"/>
        </w:rPr>
        <w:t>C. Tyrrell, NPD Program Manager &amp; Chair, Gate Review Board</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