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START HERE</w:t>
      </w:r>
    </w:p>
    <w:p>
      <w:r>
        <w:rPr>
          <w:b/>
          <w:color w:val="12304A"/>
          <w:sz w:val="44"/>
        </w:rPr>
        <w:t>The Program Story</w:t>
      </w:r>
    </w:p>
    <w:p>
      <w:r>
        <w:rPr>
          <w:i/>
          <w:color w:val="6B7280"/>
          <w:sz w:val="17"/>
        </w:rPr>
        <w:t>Lighthouse Financial Services Company and Beacon Index Advantage are fictional, created by C. Tyrrell to demonstrate stage-gate new product development program management. All people, partners and counterparties are invented and no real company, product or regulatory filing is depicted. The methodology, the regulatory route and the governance mechanics are real, and every figure across the suite is internally consistent by design and verified programmatically.</w:t>
      </w:r>
    </w:p>
    <w:p/>
    <w:p>
      <w:r>
        <w:t>Six documents in this suite record decisions taken over three years. Each is written to stand alone, which means none of them tells you the sequence. This page does. Read it once and every other document in the suite will make sense in about ten seconds.</w:t>
      </w:r>
    </w:p>
    <w:p>
      <w:pPr>
        <w:spacing w:before="320"/>
      </w:pPr>
      <w:r>
        <w:rPr>
          <w:b/>
          <w:color w:val="12304A"/>
          <w:sz w:val="28"/>
        </w:rPr>
        <w:t>Chapter OneThe program that was stopped</w:t>
      </w:r>
    </w:p>
    <w:p>
      <w:r>
        <w:t>March 2025 – August 2025</w:t>
      </w:r>
    </w:p>
    <w:p>
      <w:r>
        <w:t>The story starts with a different product. Lighthouse Financial Services Company had no participant in the fastest-growing segment of the annuity market, and distribution partners were asking for one. So in early 2025 the carrier screened a concept called the Harborline Buffer Series — a registered index-linked annuity, where the contract owner takes some real downside in exchange for more upside.</w:t>
      </w:r>
    </w:p>
    <w:p>
      <w:r>
        <w:t>It passed its concept screening gate. Then the business case stage did what a business case stage is for: it costed the thing properly, for the first time. Two facts came back that the screening had underweighted. A registered product has to be sold through broker-dealer channels the carrier did not operate in. And its buffered structure needed hedging the in-house investments desk could not execute, so it would have to be outsourced — against the carrier's own operating model, at recurring cost.</w:t>
      </w:r>
    </w:p>
    <w:p>
      <w:r>
        <w:t>Load both onto the product and it no longer cleared the carrier's return hurdle. On August 7, 2025 the Gate Review Board cancelled it, 1-4. The Head of Distribution voted to continue, and was right about the demand.</w:t>
      </w:r>
    </w:p>
    <w:p>
      <w:r>
        <w:t>ReadPrior Concept Cancellation Record — the grounds, the vote, the final accounting, and the unspent money returned to the capital pool.</w:t>
      </w:r>
    </w:p>
    <w:p>
      <w:pPr>
        <w:spacing w:before="320"/>
      </w:pPr>
      <w:r>
        <w:rPr>
          <w:b/>
          <w:color w:val="12304A"/>
          <w:sz w:val="28"/>
        </w:rPr>
        <w:t>Chapter TwoThe same demand, from the other side of a line</w:t>
      </w:r>
    </w:p>
    <w:p>
      <w:r>
        <w:t>February 2026</w:t>
      </w:r>
    </w:p>
    <w:p>
      <w:r>
        <w:t>The cancel produced one durable finding: the binding constraint was registration, not the product idea and not the market. Everything expensive about Harborline flowed from the contract owner taking downside exposure.</w:t>
      </w:r>
    </w:p>
    <w:p>
      <w:r>
        <w:t>Take the downside away and the whole picture changes. A fixed indexed annuity credits interest linked to an index but protects the principal, which keeps it out of securities registration entirely and inside the state insurance filing lane — where this carrier's distribution, compliance model and hedging desk all already operate.</w:t>
      </w:r>
    </w:p>
    <w:p>
      <w:r>
        <w:t>That is Beacon Index Advantage, and on February 5, 2026 it was screened at Gate 0 as a new program. Not a restart. New business case, new funding, new team, entering at the first gate like anything else. It scored 3.85 and carried 5–0.</w:t>
      </w:r>
    </w:p>
    <w:p>
      <w:pPr>
        <w:spacing w:before="120"/>
        <w:ind w:left="360"/>
      </w:pPr>
      <w:r>
        <w:rPr>
          <w:i/>
          <w:color w:val="12304A"/>
          <w:sz w:val="20"/>
        </w:rPr>
        <w:t>Why the distinction matters. The signature failure of stage-gate governance is the cancelled program that comes back under a new name and quietly resumes. When that happens the cancel was theatre, and every later decision by that board counts for less. This one re-entered at Gate 0 and had to earn its money again.</w:t>
      </w:r>
    </w:p>
    <w:p>
      <w:pPr>
        <w:spacing w:before="320"/>
      </w:pPr>
      <w:r>
        <w:rPr>
          <w:b/>
          <w:color w:val="12304A"/>
          <w:sz w:val="28"/>
        </w:rPr>
        <w:t>Chapter ThreeThe gate that did not carry</w:t>
      </w:r>
    </w:p>
    <w:p>
      <w:r>
        <w:t>February 2026 – April 30, 2026</w:t>
      </w:r>
    </w:p>
    <w:p>
      <w:r>
        <w:t>Stage 1 built the business case. On April 30, 2026 Gate 1 convened to decide whether to release $11,640,000 for development — the largest single release in the program.</w:t>
      </w:r>
    </w:p>
    <w:p>
      <w:r>
        <w:t>The Board never got to a decision on the product. Two things in the package could not be assessed at all. The volume forecast — the number driving the entire return — was built from internal modeling with no written commitment from any distribution partner behind it. And the return calculation used a capital charge that had been superseded while the model was being built.</w:t>
      </w:r>
    </w:p>
    <w:p>
      <w:r>
        <w:t>Both were rated unscoreable. Under the assessment framework that obliges the chair to recommend a recycle: the package goes back, the money is not released, and the Board records what specifically has to change. It carried.</w:t>
      </w:r>
    </w:p>
    <w:p>
      <w:pPr>
        <w:spacing w:before="120"/>
        <w:ind w:left="360"/>
      </w:pPr>
      <w:r>
        <w:rPr>
          <w:i/>
          <w:color w:val="12304A"/>
          <w:sz w:val="20"/>
        </w:rPr>
        <w:t>A recycle is not a rejection, and the difference is practical. The Board did not find the product unsound or the forecast implausible — it found the forecast unevidenced. So nothing about the product was redesigned during the loop. Treating a recycle as an invitation to redesign is how six weeks becomes six months.</w:t>
      </w:r>
    </w:p>
    <w:p>
      <w:r>
        <w:t>ReadGate 1 Recycle Memorandum — the two findings, an explicit list of what the Board did not find, and a root cause the chair attributes to himself.</w:t>
      </w:r>
    </w:p>
    <w:p>
      <w:pPr>
        <w:spacing w:before="320"/>
      </w:pPr>
      <w:r>
        <w:rPr>
          <w:b/>
          <w:color w:val="12304A"/>
          <w:sz w:val="28"/>
        </w:rPr>
        <w:t>Chapter FourSix weeks, and what they cost</w:t>
      </w:r>
    </w:p>
    <w:p>
      <w:r>
        <w:t>May 2026 – June 2026</w:t>
      </w:r>
    </w:p>
    <w:p>
      <w:r>
        <w:t>The root cause was sequencing. Stage 1 had scheduled channel validation and the capital-charge refresh to finish after the business case was drafted, on the assumption both would confirm what had been modeled. So the pack was assembled to the gate date rather than to the availability of its own evidence — and the chair, who had authority to decline to convene, convened anyway.</w:t>
      </w:r>
    </w:p>
    <w:p>
      <w:r>
        <w:t>Remediation was narrow on purpose: get written commitments, and recompute on the current charge. Both were done inside six weeks, at a cost of $232,000, funded from a reserve the Board controls rather than absorbed into the next release — so the cost of the recycle stays visible instead of disappearing into development spend.</w:t>
      </w:r>
    </w:p>
    <w:p>
      <w:r>
        <w:t>Two consequences are worth carrying forward. Recomputing changed the answer: projected return fell from 14.6% to 13.4% against an 11.0% hurdle. Still clears — by half the margin previously claimed. And the launch date did not move, so development absorbed the delay: Stage 2 was compressed from 46 weeks to 40.</w:t>
      </w:r>
    </w:p>
    <w:p>
      <w:pPr>
        <w:spacing w:before="320"/>
      </w:pPr>
      <w:r>
        <w:rPr>
          <w:b/>
          <w:color w:val="12304A"/>
          <w:sz w:val="28"/>
        </w:rPr>
        <w:t>Chapter FiveThe gate that carried, with strings</w:t>
      </w:r>
    </w:p>
    <w:p>
      <w:r>
        <w:t>Jun 11, 2026</w:t>
      </w:r>
    </w:p>
    <w:p>
      <w:r>
        <w:t>The package returned on Jun 11, 2026. All five must-meet criteria certified; the weighted score came in at 3.20, which sits in the band supporting continuation with conditions rather than outright. The Board voted 4–0–1 to release $11,640,000 and attached five conditions, each with a named owner and a date falling before the next gate.</w:t>
      </w:r>
    </w:p>
    <w:p>
      <w:r>
        <w:t>Four of the five map onto criteria that scored a 3. That is the framework working as intended: every weakness that still supports a continuation decision leaves the room with somebody's name attached to it.</w:t>
      </w:r>
    </w:p>
    <w:p>
      <w:r>
        <w:t>ReadGate 1 Business Case Package — the case as it went to the Board, including two dissents tabled against the recommendation, one of them from the Distribution function against its own forecast.</w:t>
      </w:r>
    </w:p>
    <w:p>
      <w:pPr>
        <w:spacing w:before="320"/>
      </w:pPr>
      <w:r>
        <w:rPr>
          <w:b/>
          <w:color w:val="12304A"/>
          <w:sz w:val="28"/>
        </w:rPr>
        <w:t>Chapter SixWhere the program is today</w:t>
      </w:r>
    </w:p>
    <w:p>
      <w:r>
        <w:t>October 16, 2026</w:t>
      </w:r>
    </w:p>
    <w:p>
      <w:r>
        <w:t>Seventeen weeks into a forty-week development stage. Three of the five conditions are closed, two are open, and one of those two is flagged at risk. Of the $27,904,000 authorized program cost, $14,232,000 has been released and $13,672,000 has not — and may never be.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Where things stand</w:t>
            </w:r>
          </w:p>
        </w:tc>
        <w:tc>
          <w:tcPr>
            <w:tcW w:type="dxa" w:w="4824"/>
          </w:tcPr>
          <w:p>
            <w:r>
              <w:rPr>
                <w:b/>
                <w:sz w:val="17"/>
              </w:rPr>
            </w:r>
          </w:p>
        </w:tc>
      </w:tr>
      <w:tr>
        <w:tc>
          <w:tcPr>
            <w:tcW w:type="dxa" w:w="4824"/>
          </w:tcPr>
          <w:p>
            <w:r>
              <w:rPr>
                <w:sz w:val="17"/>
              </w:rPr>
              <w:t>Stage</w:t>
            </w:r>
          </w:p>
        </w:tc>
        <w:tc>
          <w:tcPr>
            <w:tcW w:type="dxa" w:w="4824"/>
          </w:tcPr>
          <w:p>
            <w:r>
              <w:rPr>
                <w:sz w:val="17"/>
              </w:rPr>
              <w:t>Stage 2 — Development, 17 of 40 weeks</w:t>
            </w:r>
          </w:p>
        </w:tc>
      </w:tr>
      <w:tr>
        <w:tc>
          <w:tcPr>
            <w:tcW w:type="dxa" w:w="4824"/>
          </w:tcPr>
          <w:p>
            <w:r>
              <w:rPr>
                <w:sz w:val="17"/>
              </w:rPr>
              <w:t>Next decision</w:t>
            </w:r>
          </w:p>
        </w:tc>
        <w:tc>
          <w:tcPr>
            <w:tcW w:type="dxa" w:w="4824"/>
          </w:tcPr>
          <w:p>
            <w:r>
              <w:rPr>
                <w:sz w:val="17"/>
              </w:rPr>
              <w:t>Gate 2 — April 1, 2027</w:t>
            </w:r>
          </w:p>
        </w:tc>
      </w:tr>
      <w:tr>
        <w:tc>
          <w:tcPr>
            <w:tcW w:type="dxa" w:w="4824"/>
          </w:tcPr>
          <w:p>
            <w:r>
              <w:rPr>
                <w:sz w:val="17"/>
              </w:rPr>
              <w:t>Conditions</w:t>
            </w:r>
          </w:p>
        </w:tc>
        <w:tc>
          <w:tcPr>
            <w:tcW w:type="dxa" w:w="4824"/>
          </w:tcPr>
          <w:p>
            <w:r>
              <w:rPr>
                <w:sz w:val="17"/>
              </w:rPr>
              <w:t>3 closed · 2 open · 1 at risk</w:t>
            </w:r>
          </w:p>
        </w:tc>
      </w:tr>
      <w:tr>
        <w:tc>
          <w:tcPr>
            <w:tcW w:type="dxa" w:w="4824"/>
          </w:tcPr>
          <w:p>
            <w:r>
              <w:rPr>
                <w:sz w:val="17"/>
              </w:rPr>
              <w:t>Released</w:t>
            </w:r>
          </w:p>
        </w:tc>
        <w:tc>
          <w:tcPr>
            <w:tcW w:type="dxa" w:w="4824"/>
          </w:tcPr>
          <w:p>
            <w:r>
              <w:rPr>
                <w:sz w:val="17"/>
              </w:rPr>
              <w:t>$14,232,000</w:t>
            </w:r>
          </w:p>
        </w:tc>
      </w:tr>
      <w:tr>
        <w:tc>
          <w:tcPr>
            <w:tcW w:type="dxa" w:w="4824"/>
          </w:tcPr>
          <w:p>
            <w:r>
              <w:rPr>
                <w:sz w:val="17"/>
              </w:rPr>
              <w:t>Unreleased</w:t>
            </w:r>
          </w:p>
        </w:tc>
        <w:tc>
          <w:tcPr>
            <w:tcW w:type="dxa" w:w="4824"/>
          </w:tcPr>
          <w:p>
            <w:r>
              <w:rPr>
                <w:sz w:val="17"/>
              </w:rPr>
              <w:t>$13,672,000</w:t>
            </w:r>
          </w:p>
        </w:tc>
      </w:tr>
      <w:tr>
        <w:tc>
          <w:tcPr>
            <w:tcW w:type="dxa" w:w="4824"/>
          </w:tcPr>
          <w:p>
            <w:r>
              <w:rPr>
                <w:sz w:val="17"/>
              </w:rPr>
              <w:t>Known soft spot</w:t>
            </w:r>
          </w:p>
        </w:tc>
        <w:tc>
          <w:tcPr>
            <w:tcW w:type="dxa" w:w="4824"/>
          </w:tcPr>
          <w:p>
            <w:r>
              <w:rPr>
                <w:sz w:val="17"/>
              </w:rPr>
              <w:t>$17,000,000 of Year 1 premium uncommitted by any partner</w:t>
            </w:r>
          </w:p>
        </w:tc>
      </w:tr>
    </w:tbl>
    <w:p/>
    <w:p>
      <w:pPr>
        <w:spacing w:before="120"/>
        <w:ind w:left="360"/>
      </w:pPr>
      <w:r>
        <w:rPr>
          <w:i/>
          <w:color w:val="12304A"/>
          <w:sz w:val="20"/>
        </w:rPr>
        <w:t>The uncomfortable part, stated once. The condition that re-validated distribution volumes was correctly written, correctly verified and closed on time — and what the evidence showed was that $17,000,000 of Year 1 premium has no partner behind it. The condition closed. The weakness did not. And the downside case, at volumes 30% below plan, returns 10.1% against an 11.0% hurdle — it fails. That is why the register tracks whether closing a condition actually changed anything.</w:t>
      </w:r>
    </w:p>
    <w:p>
      <w:r>
        <w:t>ReadGate Conditions Register — all five conditions with owners, verification methods and post-closure efficacy findings.</w:t>
      </w:r>
    </w:p>
    <w:p>
      <w:pPr>
        <w:spacing w:before="320"/>
      </w:pPr>
      <w:r>
        <w:rPr>
          <w:b/>
          <w:color w:val="12304A"/>
          <w:sz w:val="28"/>
        </w:rPr>
        <w:t>Chapter SevenWhat happens next — and what could stop it</w:t>
      </w:r>
    </w:p>
    <w:p>
      <w:r>
        <w:t>April 2027 onward</w:t>
      </w:r>
    </w:p>
    <w:p>
      <w:r>
        <w:t>Three gates remain, each releasing money and each able to stop the program. The Board has already published, in advance, the conditions under which it would expect to cancel rather than continue — because a threshold agreed before the room is considerably harder to rationalize away than one debated inside it.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Gate</w:t>
            </w:r>
          </w:p>
        </w:tc>
        <w:tc>
          <w:tcPr>
            <w:tcW w:type="dxa" w:w="3216"/>
          </w:tcPr>
          <w:p>
            <w:r>
              <w:rPr>
                <w:b/>
                <w:sz w:val="17"/>
              </w:rPr>
              <w:t>The question</w:t>
            </w:r>
          </w:p>
        </w:tc>
        <w:tc>
          <w:tcPr>
            <w:tcW w:type="dxa" w:w="3216"/>
          </w:tcPr>
          <w:p>
            <w:r>
              <w:rPr>
                <w:b/>
                <w:sz w:val="17"/>
              </w:rPr>
              <w:t>Would expect to cancel if…</w:t>
            </w:r>
          </w:p>
        </w:tc>
      </w:tr>
      <w:tr>
        <w:tc>
          <w:tcPr>
            <w:tcW w:type="dxa" w:w="3216"/>
          </w:tcPr>
          <w:p>
            <w:r>
              <w:rPr>
                <w:sz w:val="17"/>
              </w:rPr>
              <w:t>Gate 2 Apr 1, 2027</w:t>
            </w:r>
          </w:p>
        </w:tc>
        <w:tc>
          <w:tcPr>
            <w:tcW w:type="dxa" w:w="3216"/>
          </w:tcPr>
          <w:p>
            <w:r>
              <w:rPr>
                <w:sz w:val="17"/>
              </w:rPr>
              <w:t>Is it built, priced and fit to file?</w:t>
            </w:r>
          </w:p>
        </w:tc>
        <w:tc>
          <w:tcPr>
            <w:tcW w:type="dxa" w:w="3216"/>
          </w:tcPr>
          <w:p>
            <w:r>
              <w:rPr>
                <w:sz w:val="17"/>
              </w:rPr>
              <w:t>External review cannot support the rider pricing and no repriced structure clears the hurdle; or the illustrated cap falls below the 8.50% floor fixed at Gate 1</w:t>
            </w:r>
          </w:p>
        </w:tc>
      </w:tr>
      <w:tr>
        <w:tc>
          <w:tcPr>
            <w:tcW w:type="dxa" w:w="3216"/>
          </w:tcPr>
          <w:p>
            <w:r>
              <w:rPr>
                <w:sz w:val="17"/>
              </w:rPr>
              <w:t>Gate 3 Oct 28, 2027</w:t>
            </w:r>
          </w:p>
        </w:tc>
        <w:tc>
          <w:tcPr>
            <w:tcW w:type="dxa" w:w="3216"/>
          </w:tcPr>
          <w:p>
            <w:r>
              <w:rPr>
                <w:sz w:val="17"/>
              </w:rPr>
              <w:t>Is it approved to sell, and does it still price?</w:t>
            </w:r>
          </w:p>
        </w:tc>
        <w:tc>
          <w:tcPr>
            <w:tcW w:type="dxa" w:w="3216"/>
          </w:tcPr>
          <w:p>
            <w:r>
              <w:rPr>
                <w:sz w:val="17"/>
              </w:rPr>
              <w:t>Filing approval cannot be obtained inside the launch window; or reserve and capital treatment proves heavier than modeled</w:t>
            </w:r>
          </w:p>
        </w:tc>
      </w:tr>
      <w:tr>
        <w:tc>
          <w:tcPr>
            <w:tcW w:type="dxa" w:w="3216"/>
          </w:tcPr>
          <w:p>
            <w:r>
              <w:rPr>
                <w:sz w:val="17"/>
              </w:rPr>
              <w:t>Gate 4 Feb 24, 2028</w:t>
            </w:r>
          </w:p>
        </w:tc>
        <w:tc>
          <w:tcPr>
            <w:tcW w:type="dxa" w:w="3216"/>
          </w:tcPr>
          <w:p>
            <w:r>
              <w:rPr>
                <w:sz w:val="17"/>
              </w:rPr>
              <w:t>Can the organization sell and service it?</w:t>
            </w:r>
          </w:p>
        </w:tc>
        <w:tc>
          <w:tcPr>
            <w:tcW w:type="dxa" w:w="3216"/>
          </w:tcPr>
          <w:p>
            <w:r>
              <w:rPr>
                <w:sz w:val="17"/>
              </w:rPr>
              <w:t>Hedging cannot be executed to the standard the guarantee requires at launch volumes</w:t>
            </w:r>
          </w:p>
        </w:tc>
      </w:tr>
      <w:tr>
        <w:tc>
          <w:tcPr>
            <w:tcW w:type="dxa" w:w="3216"/>
          </w:tcPr>
          <w:p>
            <w:r>
              <w:rPr>
                <w:sz w:val="17"/>
              </w:rPr>
              <w:t>Launch Mar 6, 2028</w:t>
            </w:r>
          </w:p>
        </w:tc>
        <w:tc>
          <w:tcPr>
            <w:tcW w:type="dxa" w:w="3216"/>
          </w:tcPr>
          <w:p>
            <w:r>
              <w:rPr>
                <w:sz w:val="17"/>
              </w:rPr>
              <w:t>—</w:t>
            </w:r>
          </w:p>
        </w:tc>
        <w:tc>
          <w:tcPr>
            <w:tcW w:type="dxa" w:w="3216"/>
          </w:tcPr>
          <w:p>
            <w:r>
              <w:rPr>
                <w:sz w:val="17"/>
              </w:rPr>
              <w:t>—</w:t>
            </w:r>
          </w:p>
        </w:tc>
      </w:tr>
      <w:tr>
        <w:tc>
          <w:tcPr>
            <w:tcW w:type="dxa" w:w="3216"/>
          </w:tcPr>
          <w:p>
            <w:r>
              <w:rPr>
                <w:sz w:val="17"/>
              </w:rPr>
              <w:t>Gate 5 Sep 7, 2028</w:t>
            </w:r>
          </w:p>
        </w:tc>
        <w:tc>
          <w:tcPr>
            <w:tcW w:type="dxa" w:w="3216"/>
          </w:tcPr>
          <w:p>
            <w:r>
              <w:rPr>
                <w:sz w:val="17"/>
              </w:rPr>
              <w:t>Did it do what the business case said?</w:t>
            </w:r>
          </w:p>
        </w:tc>
        <w:tc>
          <w:tcPr>
            <w:tcW w:type="dxa" w:w="3216"/>
          </w:tcPr>
          <w:p>
            <w:r>
              <w:rPr>
                <w:sz w:val="17"/>
              </w:rPr>
              <w:t>Releases nothing and can stop nothing. It exists so the forecast is checked against what happened</w:t>
            </w:r>
          </w:p>
        </w:tc>
      </w:tr>
    </w:tbl>
    <w:p/>
    <w:p>
      <w:pPr>
        <w:spacing w:before="320"/>
      </w:pPr>
      <w:r>
        <w:rPr>
          <w:b/>
          <w:color w:val="12304A"/>
          <w:sz w:val="28"/>
        </w:rPr>
        <w:t>ReferenceWho decides</w:t>
      </w:r>
    </w:p>
    <w:p>
      <w:r>
        <w:t>Five people vote. One chairs and does not.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Person</w:t>
            </w:r>
          </w:p>
        </w:tc>
        <w:tc>
          <w:tcPr>
            <w:tcW w:type="dxa" w:w="2412"/>
          </w:tcPr>
          <w:p>
            <w:r>
              <w:rPr>
                <w:b/>
                <w:sz w:val="17"/>
              </w:rPr>
              <w:t>Seat</w:t>
            </w:r>
          </w:p>
        </w:tc>
        <w:tc>
          <w:tcPr>
            <w:tcW w:type="dxa" w:w="2412"/>
          </w:tcPr>
          <w:p>
            <w:r>
              <w:rPr>
                <w:b/>
                <w:sz w:val="17"/>
              </w:rPr>
              <w:t>Owns the risk of</w:t>
            </w:r>
          </w:p>
        </w:tc>
        <w:tc>
          <w:tcPr>
            <w:tcW w:type="dxa" w:w="2412"/>
          </w:tcPr>
          <w:p>
            <w:r>
              <w:rPr>
                <w:b/>
                <w:sz w:val="17"/>
              </w:rPr>
              <w:t>Vote</w:t>
            </w:r>
          </w:p>
        </w:tc>
      </w:tr>
      <w:tr>
        <w:tc>
          <w:tcPr>
            <w:tcW w:type="dxa" w:w="2412"/>
          </w:tcPr>
          <w:p>
            <w:r>
              <w:rPr>
                <w:sz w:val="17"/>
              </w:rPr>
              <w:t>G. Marchetti</w:t>
            </w:r>
          </w:p>
        </w:tc>
        <w:tc>
          <w:tcPr>
            <w:tcW w:type="dxa" w:w="2412"/>
          </w:tcPr>
          <w:p>
            <w:r>
              <w:rPr>
                <w:sz w:val="17"/>
              </w:rPr>
              <w:t>Chief Product Officer, sponsor</w:t>
            </w:r>
          </w:p>
        </w:tc>
        <w:tc>
          <w:tcPr>
            <w:tcW w:type="dxa" w:w="2412"/>
          </w:tcPr>
          <w:p>
            <w:r>
              <w:rPr>
                <w:sz w:val="17"/>
              </w:rPr>
              <w:t>Product viability, portfolio fit</w:t>
            </w:r>
          </w:p>
        </w:tc>
        <w:tc>
          <w:tcPr>
            <w:tcW w:type="dxa" w:w="2412"/>
          </w:tcPr>
          <w:p>
            <w:r>
              <w:rPr>
                <w:sz w:val="17"/>
              </w:rPr>
              <w:t>Yes</w:t>
            </w:r>
          </w:p>
        </w:tc>
      </w:tr>
      <w:tr>
        <w:tc>
          <w:tcPr>
            <w:tcW w:type="dxa" w:w="2412"/>
          </w:tcPr>
          <w:p>
            <w:r>
              <w:rPr>
                <w:sz w:val="17"/>
              </w:rPr>
              <w:t>N. Adeyemi</w:t>
            </w:r>
          </w:p>
        </w:tc>
        <w:tc>
          <w:tcPr>
            <w:tcW w:type="dxa" w:w="2412"/>
          </w:tcPr>
          <w:p>
            <w:r>
              <w:rPr>
                <w:sz w:val="17"/>
              </w:rPr>
              <w:t>Chief Actuary</w:t>
            </w:r>
          </w:p>
        </w:tc>
        <w:tc>
          <w:tcPr>
            <w:tcW w:type="dxa" w:w="2412"/>
          </w:tcPr>
          <w:p>
            <w:r>
              <w:rPr>
                <w:sz w:val="17"/>
              </w:rPr>
              <w:t>Pricing and reserve adequacy</w:t>
            </w:r>
          </w:p>
        </w:tc>
        <w:tc>
          <w:tcPr>
            <w:tcW w:type="dxa" w:w="2412"/>
          </w:tcPr>
          <w:p>
            <w:r>
              <w:rPr>
                <w:sz w:val="17"/>
              </w:rPr>
              <w:t>Yes</w:t>
            </w:r>
          </w:p>
        </w:tc>
      </w:tr>
      <w:tr>
        <w:tc>
          <w:tcPr>
            <w:tcW w:type="dxa" w:w="2412"/>
          </w:tcPr>
          <w:p>
            <w:r>
              <w:rPr>
                <w:sz w:val="17"/>
              </w:rPr>
              <w:t>B. Lindqvist</w:t>
            </w:r>
          </w:p>
        </w:tc>
        <w:tc>
          <w:tcPr>
            <w:tcW w:type="dxa" w:w="2412"/>
          </w:tcPr>
          <w:p>
            <w:r>
              <w:rPr>
                <w:sz w:val="17"/>
              </w:rPr>
              <w:t>General Counsel &amp; CCO</w:t>
            </w:r>
          </w:p>
        </w:tc>
        <w:tc>
          <w:tcPr>
            <w:tcW w:type="dxa" w:w="2412"/>
          </w:tcPr>
          <w:p>
            <w:r>
              <w:rPr>
                <w:sz w:val="17"/>
              </w:rPr>
              <w:t>Filing, forms, market conduct</w:t>
            </w:r>
          </w:p>
        </w:tc>
        <w:tc>
          <w:tcPr>
            <w:tcW w:type="dxa" w:w="2412"/>
          </w:tcPr>
          <w:p>
            <w:r>
              <w:rPr>
                <w:sz w:val="17"/>
              </w:rPr>
              <w:t>Yes</w:t>
            </w:r>
          </w:p>
        </w:tc>
      </w:tr>
      <w:tr>
        <w:tc>
          <w:tcPr>
            <w:tcW w:type="dxa" w:w="2412"/>
          </w:tcPr>
          <w:p>
            <w:r>
              <w:rPr>
                <w:sz w:val="17"/>
              </w:rPr>
              <w:t>R. Castellanos</w:t>
            </w:r>
          </w:p>
        </w:tc>
        <w:tc>
          <w:tcPr>
            <w:tcW w:type="dxa" w:w="2412"/>
          </w:tcPr>
          <w:p>
            <w:r>
              <w:rPr>
                <w:sz w:val="17"/>
              </w:rPr>
              <w:t>Head of Distribution</w:t>
            </w:r>
          </w:p>
        </w:tc>
        <w:tc>
          <w:tcPr>
            <w:tcW w:type="dxa" w:w="2412"/>
          </w:tcPr>
          <w:p>
            <w:r>
              <w:rPr>
                <w:sz w:val="17"/>
              </w:rPr>
              <w:t>Volume assumptions, channel capacity</w:t>
            </w:r>
          </w:p>
        </w:tc>
        <w:tc>
          <w:tcPr>
            <w:tcW w:type="dxa" w:w="2412"/>
          </w:tcPr>
          <w:p>
            <w:r>
              <w:rPr>
                <w:sz w:val="17"/>
              </w:rPr>
              <w:t>Yes</w:t>
            </w:r>
          </w:p>
        </w:tc>
      </w:tr>
      <w:tr>
        <w:tc>
          <w:tcPr>
            <w:tcW w:type="dxa" w:w="2412"/>
          </w:tcPr>
          <w:p>
            <w:r>
              <w:rPr>
                <w:sz w:val="17"/>
              </w:rPr>
              <w:t>J. Whitmore</w:t>
            </w:r>
          </w:p>
        </w:tc>
        <w:tc>
          <w:tcPr>
            <w:tcW w:type="dxa" w:w="2412"/>
          </w:tcPr>
          <w:p>
            <w:r>
              <w:rPr>
                <w:sz w:val="17"/>
              </w:rPr>
              <w:t>Chief Financial Officer</w:t>
            </w:r>
          </w:p>
        </w:tc>
        <w:tc>
          <w:tcPr>
            <w:tcW w:type="dxa" w:w="2412"/>
          </w:tcPr>
          <w:p>
            <w:r>
              <w:rPr>
                <w:sz w:val="17"/>
              </w:rPr>
              <w:t>Capital and funding release</w:t>
            </w:r>
          </w:p>
        </w:tc>
        <w:tc>
          <w:tcPr>
            <w:tcW w:type="dxa" w:w="2412"/>
          </w:tcPr>
          <w:p>
            <w:r>
              <w:rPr>
                <w:sz w:val="17"/>
              </w:rPr>
              <w:t>Yes</w:t>
            </w:r>
          </w:p>
        </w:tc>
      </w:tr>
      <w:tr>
        <w:tc>
          <w:tcPr>
            <w:tcW w:type="dxa" w:w="2412"/>
          </w:tcPr>
          <w:p>
            <w:r>
              <w:rPr>
                <w:sz w:val="17"/>
              </w:rPr>
              <w:t>D. Pemberton</w:t>
            </w:r>
          </w:p>
        </w:tc>
        <w:tc>
          <w:tcPr>
            <w:tcW w:type="dxa" w:w="2412"/>
          </w:tcPr>
          <w:p>
            <w:r>
              <w:rPr>
                <w:sz w:val="17"/>
              </w:rPr>
              <w:t>Chief Risk Officer</w:t>
            </w:r>
          </w:p>
        </w:tc>
        <w:tc>
          <w:tcPr>
            <w:tcW w:type="dxa" w:w="2412"/>
          </w:tcPr>
          <w:p>
            <w:r>
              <w:rPr>
                <w:sz w:val="17"/>
              </w:rPr>
              <w:t>Enterprise risk — observer</w:t>
            </w:r>
          </w:p>
        </w:tc>
        <w:tc>
          <w:tcPr>
            <w:tcW w:type="dxa" w:w="2412"/>
          </w:tcPr>
          <w:p>
            <w:r>
              <w:rPr>
                <w:sz w:val="17"/>
              </w:rPr>
              <w:t>No</w:t>
            </w:r>
          </w:p>
        </w:tc>
      </w:tr>
      <w:tr>
        <w:tc>
          <w:tcPr>
            <w:tcW w:type="dxa" w:w="2412"/>
          </w:tcPr>
          <w:p>
            <w:r>
              <w:rPr>
                <w:sz w:val="17"/>
              </w:rPr>
              <w:t>C. Tyrrell</w:t>
            </w:r>
          </w:p>
        </w:tc>
        <w:tc>
          <w:tcPr>
            <w:tcW w:type="dxa" w:w="2412"/>
          </w:tcPr>
          <w:p>
            <w:r>
              <w:rPr>
                <w:sz w:val="17"/>
              </w:rPr>
              <w:t>Program Manager, chair</w:t>
            </w:r>
          </w:p>
        </w:tc>
        <w:tc>
          <w:tcPr>
            <w:tcW w:type="dxa" w:w="2412"/>
          </w:tcPr>
          <w:p>
            <w:r>
              <w:rPr>
                <w:sz w:val="17"/>
              </w:rPr>
              <w:t>Gate integrity and evidence quality</w:t>
            </w:r>
          </w:p>
        </w:tc>
        <w:tc>
          <w:tcPr>
            <w:tcW w:type="dxa" w:w="2412"/>
          </w:tcPr>
          <w:p>
            <w:r>
              <w:rPr>
                <w:sz w:val="17"/>
              </w:rPr>
              <w:t>No</w:t>
            </w:r>
          </w:p>
        </w:tc>
      </w:tr>
    </w:tbl>
    <w:p/>
    <w:p>
      <w:pPr>
        <w:spacing w:before="120"/>
        <w:ind w:left="360"/>
      </w:pPr>
      <w:r>
        <w:rPr>
          <w:i/>
          <w:color w:val="12304A"/>
          <w:sz w:val="20"/>
        </w:rPr>
        <w:t>The chair does not vote, and that is the point. The program manager assembles the decision package, commissions the analysis inside it, and has spent months building the thing being judged. That is exactly the profile of someone who should not vote on it. It also means a cancel is not a personal defeat for the person running the process.</w:t>
      </w:r>
    </w:p>
    <w:p>
      <w:pPr>
        <w:spacing w:before="320"/>
      </w:pPr>
      <w:r>
        <w:rPr>
          <w:b/>
          <w:color w:val="12304A"/>
          <w:sz w:val="28"/>
        </w:rPr>
        <w:t>ReferenceHow to read the numbers</w:t>
      </w:r>
    </w:p>
    <w:p>
      <w:pPr>
        <w:pStyle w:val="ListBullet"/>
      </w:pPr>
      <w:r>
        <w:t>$27,904,000 is an authorized cost, not a budget in hand. It is released one stage at a time, by the gate that authorizes that stage. Today $13,672,000 of it is unreleased.</w:t>
      </w:r>
    </w:p>
    <w:p>
      <w:pPr>
        <w:pStyle w:val="ListBullet"/>
      </w:pPr>
      <w:r>
        <w:t>There is no program-level earned value baseline, deliberately. Two stages are unfunded; reporting performance against money nobody has approved would imply a commitment the governance model specifically withheld. Performance is reported inside the released tranche.</w:t>
      </w:r>
    </w:p>
    <w:p>
      <w:pPr>
        <w:pStyle w:val="ListBullet"/>
      </w:pPr>
      <w:r>
        <w:t>The contingency reserve belongs to the Board, not the program manager. Every draw needs a gate decision. Both draws so far paid for consequences of the Board's own decisions.</w:t>
      </w:r>
    </w:p>
    <w:p>
      <w:pPr>
        <w:pStyle w:val="ListBullet"/>
      </w:pPr>
      <w:r>
        <w:t>Harborline's figures never mix with this program's. A closed program's money is reported in its own record and nowhere else. That rule is enforced automatically.</w:t>
      </w:r>
    </w:p>
    <w:p>
      <w:pPr>
        <w:spacing w:before="320"/>
      </w:pPr>
      <w:r>
        <w:rPr>
          <w:b/>
          <w:color w:val="12304A"/>
          <w:sz w:val="28"/>
        </w:rPr>
        <w:t>ReferenceThree ways to read this suite</w:t>
      </w:r>
    </w:p>
    <w:p>
      <w:pPr>
        <w:spacing w:before="200"/>
      </w:pPr>
      <w:r>
        <w:rPr>
          <w:b/>
          <w:color w:val="2B5F8E"/>
          <w:sz w:val="23"/>
        </w:rPr>
        <w:t>Five minutes</w:t>
      </w:r>
    </w:p>
    <w:p>
      <w:r>
        <w:t>You want to know whether this person can run a governed investment process.</w:t>
      </w:r>
    </w:p>
    <w:p>
      <w:pPr>
        <w:pStyle w:val="ListBullet"/>
      </w:pPr>
      <w:r>
        <w:t>This page, chapters three to six</w:t>
      </w:r>
    </w:p>
    <w:p>
      <w:pPr>
        <w:pStyle w:val="ListBullet"/>
      </w:pPr>
      <w:r>
        <w:t>Recycle Memorandum §5 and §8</w:t>
      </w:r>
    </w:p>
    <w:p>
      <w:pPr>
        <w:spacing w:before="200"/>
      </w:pPr>
      <w:r>
        <w:rPr>
          <w:b/>
          <w:color w:val="2B5F8E"/>
          <w:sz w:val="23"/>
        </w:rPr>
        <w:t>Twenty minutes</w:t>
      </w:r>
    </w:p>
    <w:p>
      <w:r>
        <w:t>You want to see the judgment, not just the artifacts.</w:t>
      </w:r>
    </w:p>
    <w:p>
      <w:pPr>
        <w:pStyle w:val="ListBullet"/>
      </w:pPr>
      <w:r>
        <w:t>Cancellation Record §2 and §7</w:t>
      </w:r>
    </w:p>
    <w:p>
      <w:pPr>
        <w:pStyle w:val="ListBullet"/>
      </w:pPr>
      <w:r>
        <w:t>Decision Framework §3 and §14</w:t>
      </w:r>
    </w:p>
    <w:p>
      <w:pPr>
        <w:pStyle w:val="ListBullet"/>
      </w:pPr>
      <w:r>
        <w:t>Conditions Register §5</w:t>
      </w:r>
    </w:p>
    <w:p>
      <w:pPr>
        <w:spacing w:before="200"/>
      </w:pPr>
      <w:r>
        <w:rPr>
          <w:b/>
          <w:color w:val="2B5F8E"/>
          <w:sz w:val="23"/>
        </w:rPr>
        <w:t>You run programs</w:t>
      </w:r>
    </w:p>
    <w:p>
      <w:r>
        <w:t>You want the mechanics and the places they bite.</w:t>
      </w:r>
    </w:p>
    <w:p>
      <w:pPr>
        <w:pStyle w:val="ListBullet"/>
      </w:pPr>
      <w:r>
        <w:t>Governance Model — whole thing</w:t>
      </w:r>
    </w:p>
    <w:p>
      <w:pPr>
        <w:pStyle w:val="ListBullet"/>
      </w:pPr>
      <w:r>
        <w:t>Decision Framework — whole thing</w:t>
      </w:r>
    </w:p>
    <w:p>
      <w:pPr>
        <w:pStyle w:val="ListBullet"/>
      </w:pPr>
      <w:r>
        <w:t>Business Case §11 and §16</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