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RACI Matrix</w:t>
      </w:r>
    </w:p>
    <w:p>
      <w:r>
        <w:rPr>
          <w:color w:val="1E5945"/>
          <w:sz w:val="18"/>
        </w:rPr>
        <w:t>Responsibility Matrix · Extended Notation</w:t>
      </w:r>
    </w:p>
    <w:p/>
    <w:p>
      <w:pPr>
        <w:spacing w:after="120"/>
      </w:pPr>
      <w:r>
        <w:rPr>
          <w:b/>
          <w:i w:val="0"/>
          <w:sz w:val="20"/>
        </w:rPr>
        <w:t>Lighthouse Financial Services Company</w:t>
      </w:r>
      <w:r>
        <w:rPr>
          <w:b w:val="0"/>
          <w:i w:val="0"/>
          <w:sz w:val="20"/>
        </w:rPr>
        <w:t xml:space="preserve"> — Who does what across 20 governance and 13 delivery activities, using a notation extended by two characters that standard RACI does not have. Status as at 16 October 2026.</w:t>
      </w:r>
    </w:p>
    <w:p>
      <w:pPr>
        <w:spacing w:after="120"/>
      </w:pPr>
      <w:r>
        <w:rPr>
          <w:b/>
          <w:i w:val="0"/>
          <w:sz w:val="20"/>
        </w:rPr>
        <w:t>Contents</w:t>
      </w:r>
    </w:p>
    <w:p>
      <w:pPr>
        <w:pStyle w:val="ListNumber"/>
        <w:spacing w:after="60"/>
      </w:pPr>
      <w:r>
        <w:rPr>
          <w:b w:val="0"/>
          <w:i w:val="0"/>
          <w:sz w:val="20"/>
        </w:rPr>
        <w:t>Why Standard RACI Breaks Here</w:t>
      </w:r>
    </w:p>
    <w:p>
      <w:pPr>
        <w:pStyle w:val="ListNumber"/>
        <w:spacing w:after="60"/>
      </w:pPr>
      <w:r>
        <w:rPr>
          <w:b w:val="0"/>
          <w:i w:val="0"/>
          <w:sz w:val="20"/>
        </w:rPr>
        <w:t>Notation</w:t>
      </w:r>
    </w:p>
    <w:p>
      <w:pPr>
        <w:pStyle w:val="ListNumber"/>
        <w:spacing w:after="60"/>
      </w:pPr>
      <w:r>
        <w:rPr>
          <w:b w:val="0"/>
          <w:i w:val="0"/>
          <w:sz w:val="20"/>
        </w:rPr>
        <w:t>Tier 1 — Governance Matrix</w:t>
      </w:r>
    </w:p>
    <w:p>
      <w:pPr>
        <w:pStyle w:val="ListNumber"/>
        <w:spacing w:after="60"/>
      </w:pPr>
      <w:r>
        <w:rPr>
          <w:b w:val="0"/>
          <w:i w:val="0"/>
          <w:sz w:val="20"/>
        </w:rPr>
        <w:t>Tier 2 — Delivery Matrix, by Individual</w:t>
      </w:r>
    </w:p>
    <w:p>
      <w:pPr>
        <w:pStyle w:val="ListNumber"/>
        <w:spacing w:after="60"/>
      </w:pPr>
      <w:r>
        <w:rPr>
          <w:b w:val="0"/>
          <w:i w:val="0"/>
          <w:sz w:val="20"/>
        </w:rPr>
        <w:t>Where Accountability Splits</w:t>
      </w:r>
    </w:p>
    <w:p>
      <w:pPr>
        <w:pStyle w:val="ListNumber"/>
        <w:spacing w:after="60"/>
      </w:pPr>
      <w:r>
        <w:rPr>
          <w:b w:val="0"/>
          <w:i w:val="0"/>
          <w:sz w:val="20"/>
        </w:rPr>
        <w:t>The Observer Problem</w:t>
      </w:r>
    </w:p>
    <w:p>
      <w:pPr>
        <w:pStyle w:val="ListNumber"/>
        <w:spacing w:after="60"/>
      </w:pPr>
      <w:r>
        <w:rPr>
          <w:b w:val="0"/>
          <w:i w:val="0"/>
          <w:sz w:val="20"/>
        </w:rPr>
        <w:t>The Conflict Rule</w:t>
      </w:r>
    </w:p>
    <w:p>
      <w:pPr>
        <w:pStyle w:val="ListNumber"/>
        <w:spacing w:after="60"/>
      </w:pPr>
      <w:r>
        <w:rPr>
          <w:b w:val="0"/>
          <w:i w:val="0"/>
          <w:sz w:val="20"/>
        </w:rPr>
        <w:t>What the Matrix Reveals</w:t>
      </w:r>
    </w:p>
    <w:p>
      <w:pPr>
        <w:spacing w:before="280" w:after="80"/>
      </w:pPr>
      <w:r>
        <w:rPr>
          <w:b/>
          <w:i w:val="0"/>
          <w:color w:val="14352A"/>
          <w:sz w:val="28"/>
        </w:rPr>
        <w:t>1. Why Standard RACI Breaks Here</w:t>
      </w:r>
    </w:p>
    <w:p>
      <w:pPr>
        <w:spacing w:after="120"/>
      </w:pPr>
      <w:r>
        <w:rPr>
          <w:b w:val="0"/>
          <w:i w:val="0"/>
          <w:sz w:val="20"/>
        </w:rPr>
        <w:t>Standard RACI assumes a decision structure in which somebody approves and everybody else feeds in. That assumption holds on most programs, which is why the notation has survived unchanged for decades. It does not hold here.</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RACI has no notation for a vote.</w:t>
            </w:r>
            <w:r>
              <w:rPr>
                <w:b w:val="0"/>
                <w:i w:val="0"/>
                <w:sz w:val="20"/>
              </w:rPr>
              <w:t xml:space="preserve"> Five executives cast binding votes at every gate. Marking them </w:t>
            </w:r>
            <w:r>
              <w:rPr>
                <w:b/>
                <w:i w:val="0"/>
                <w:sz w:val="20"/>
              </w:rPr>
              <w:t>C</w:t>
            </w:r>
            <w:r>
              <w:rPr>
                <w:b w:val="0"/>
                <w:i w:val="0"/>
                <w:sz w:val="20"/>
              </w:rPr>
              <w:t xml:space="preserve"> would misdescribe them — consulted implies input, voting implies decision. Marking them </w:t>
            </w:r>
            <w:r>
              <w:rPr>
                <w:b/>
                <w:i w:val="0"/>
                <w:sz w:val="20"/>
              </w:rPr>
              <w:t>A</w:t>
            </w:r>
            <w:r>
              <w:rPr>
                <w:b w:val="0"/>
                <w:i w:val="0"/>
                <w:sz w:val="20"/>
              </w:rPr>
              <w:t xml:space="preserve"> would be worse, because standard RACI expects one </w:t>
            </w:r>
            <w:r>
              <w:rPr>
                <w:b/>
                <w:i w:val="0"/>
                <w:sz w:val="20"/>
              </w:rPr>
              <w:t>A</w:t>
            </w:r>
            <w:r>
              <w:rPr>
                <w:b w:val="0"/>
                <w:i w:val="0"/>
                <w:sz w:val="20"/>
              </w:rPr>
              <w:t xml:space="preserve"> per row and this program deliberately has five voters plus a chair who is answerable for the evidence and holds no vote at all (Decision </w:t>
            </w:r>
            <w:r>
              <w:rPr>
                <w:b/>
                <w:i w:val="0"/>
                <w:sz w:val="20"/>
              </w:rPr>
              <w:t>D-11</w:t>
            </w:r>
            <w:r>
              <w:rPr>
                <w:b w:val="0"/>
                <w:i w:val="0"/>
                <w:sz w:val="20"/>
              </w:rPr>
              <w:t xml:space="preserve">). </w:t>
            </w:r>
          </w:p>
        </w:tc>
      </w:tr>
    </w:tbl>
    <w:p/>
    <w:p>
      <w:pPr>
        <w:spacing w:after="120"/>
      </w:pPr>
      <w:r>
        <w:rPr>
          <w:b w:val="0"/>
          <w:i w:val="0"/>
          <w:sz w:val="20"/>
        </w:rPr>
        <w:t>The alternative to extending the notation is to flatten it — to write a matrix that shows one accountable person per activity and quietly hand the Chair both the evidence job and the decision job. That is exactly the concentration this governance model exists to prevent, so the notation gives way instead of the governance.</w:t>
      </w:r>
    </w:p>
    <w:p>
      <w:pPr>
        <w:spacing w:before="280" w:after="80"/>
      </w:pPr>
      <w:r>
        <w:rPr>
          <w:b/>
          <w:i w:val="0"/>
          <w:color w:val="14352A"/>
          <w:sz w:val="28"/>
        </w:rPr>
        <w:t>2. Notation</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p>
        </w:tc>
        <w:tc>
          <w:tcPr>
            <w:tcW w:type="dxa" w:w="3216"/>
            <w:shd w:val="clear" w:fill="14352A"/>
          </w:tcPr>
          <w:p>
            <w:pPr>
              <w:spacing w:before="40" w:after="40"/>
            </w:pPr>
            <w:r>
              <w:rPr>
                <w:b/>
                <w:i w:val="0"/>
                <w:color w:val="FFFFFF"/>
                <w:sz w:val="17"/>
              </w:rPr>
              <w:t>Meaning</w:t>
            </w:r>
          </w:p>
        </w:tc>
        <w:tc>
          <w:tcPr>
            <w:tcW w:type="dxa" w:w="3216"/>
            <w:shd w:val="clear" w:fill="14352A"/>
          </w:tcPr>
          <w:p>
            <w:pPr>
              <w:spacing w:before="40" w:after="40"/>
            </w:pPr>
            <w:r>
              <w:rPr>
                <w:b/>
                <w:i w:val="0"/>
                <w:color w:val="FFFFFF"/>
                <w:sz w:val="17"/>
              </w:rPr>
              <w:t>Definition</w:t>
            </w:r>
          </w:p>
        </w:tc>
      </w:tr>
      <w:tr>
        <w:tc>
          <w:tcPr>
            <w:tcW w:type="dxa" w:w="3216"/>
          </w:tcPr>
          <w:p>
            <w:pPr>
              <w:spacing w:before="40" w:after="40"/>
            </w:pPr>
            <w:r>
              <w:rPr>
                <w:b w:val="0"/>
                <w:i w:val="0"/>
                <w:sz w:val="17"/>
              </w:rPr>
              <w:t>R</w:t>
            </w:r>
          </w:p>
        </w:tc>
        <w:tc>
          <w:tcPr>
            <w:tcW w:type="dxa" w:w="3216"/>
          </w:tcPr>
          <w:p>
            <w:pPr>
              <w:spacing w:before="40" w:after="40"/>
            </w:pPr>
            <w:r>
              <w:rPr>
                <w:b/>
                <w:i w:val="0"/>
                <w:sz w:val="17"/>
              </w:rPr>
              <w:t>Responsible</w:t>
            </w:r>
          </w:p>
        </w:tc>
        <w:tc>
          <w:tcPr>
            <w:tcW w:type="dxa" w:w="3216"/>
          </w:tcPr>
          <w:p>
            <w:pPr>
              <w:spacing w:before="40" w:after="40"/>
            </w:pPr>
            <w:r>
              <w:rPr>
                <w:b w:val="0"/>
                <w:i w:val="0"/>
                <w:sz w:val="17"/>
              </w:rPr>
              <w:t>Does the work.</w:t>
            </w:r>
          </w:p>
        </w:tc>
      </w:tr>
      <w:tr>
        <w:tc>
          <w:tcPr>
            <w:tcW w:type="dxa" w:w="3216"/>
          </w:tcPr>
          <w:p>
            <w:pPr>
              <w:spacing w:before="40" w:after="40"/>
            </w:pPr>
            <w:r>
              <w:rPr>
                <w:b w:val="0"/>
                <w:i w:val="0"/>
                <w:sz w:val="17"/>
              </w:rPr>
              <w:t>A</w:t>
            </w:r>
          </w:p>
        </w:tc>
        <w:tc>
          <w:tcPr>
            <w:tcW w:type="dxa" w:w="3216"/>
          </w:tcPr>
          <w:p>
            <w:pPr>
              <w:spacing w:before="40" w:after="40"/>
            </w:pPr>
            <w:r>
              <w:rPr>
                <w:b/>
                <w:i w:val="0"/>
                <w:sz w:val="17"/>
              </w:rPr>
              <w:t>Accountable</w:t>
            </w:r>
          </w:p>
        </w:tc>
        <w:tc>
          <w:tcPr>
            <w:tcW w:type="dxa" w:w="3216"/>
          </w:tcPr>
          <w:p>
            <w:pPr>
              <w:spacing w:before="40" w:after="40"/>
            </w:pPr>
            <w:r>
              <w:rPr>
                <w:b w:val="0"/>
                <w:i w:val="0"/>
                <w:sz w:val="17"/>
              </w:rPr>
              <w:t>Answerable for the outcome of the activity. One per row, except where noted at §4.</w:t>
            </w:r>
          </w:p>
        </w:tc>
      </w:tr>
      <w:tr>
        <w:tc>
          <w:tcPr>
            <w:tcW w:type="dxa" w:w="3216"/>
          </w:tcPr>
          <w:p>
            <w:pPr>
              <w:spacing w:before="40" w:after="40"/>
            </w:pPr>
            <w:r>
              <w:rPr>
                <w:b w:val="0"/>
                <w:i w:val="0"/>
                <w:sz w:val="17"/>
              </w:rPr>
              <w:t>C</w:t>
            </w:r>
          </w:p>
        </w:tc>
        <w:tc>
          <w:tcPr>
            <w:tcW w:type="dxa" w:w="3216"/>
          </w:tcPr>
          <w:p>
            <w:pPr>
              <w:spacing w:before="40" w:after="40"/>
            </w:pPr>
            <w:r>
              <w:rPr>
                <w:b/>
                <w:i w:val="0"/>
                <w:sz w:val="17"/>
              </w:rPr>
              <w:t>Consulted</w:t>
            </w:r>
          </w:p>
        </w:tc>
        <w:tc>
          <w:tcPr>
            <w:tcW w:type="dxa" w:w="3216"/>
          </w:tcPr>
          <w:p>
            <w:pPr>
              <w:spacing w:before="40" w:after="40"/>
            </w:pPr>
            <w:r>
              <w:rPr>
                <w:b w:val="0"/>
                <w:i w:val="0"/>
                <w:sz w:val="17"/>
              </w:rPr>
              <w:t>Two-way input before the activity completes.</w:t>
            </w:r>
          </w:p>
        </w:tc>
      </w:tr>
      <w:tr>
        <w:tc>
          <w:tcPr>
            <w:tcW w:type="dxa" w:w="3216"/>
          </w:tcPr>
          <w:p>
            <w:pPr>
              <w:spacing w:before="40" w:after="40"/>
            </w:pPr>
            <w:r>
              <w:rPr>
                <w:b w:val="0"/>
                <w:i w:val="0"/>
                <w:sz w:val="17"/>
              </w:rPr>
              <w:t>I</w:t>
            </w:r>
          </w:p>
        </w:tc>
        <w:tc>
          <w:tcPr>
            <w:tcW w:type="dxa" w:w="3216"/>
          </w:tcPr>
          <w:p>
            <w:pPr>
              <w:spacing w:before="40" w:after="40"/>
            </w:pPr>
            <w:r>
              <w:rPr>
                <w:b/>
                <w:i w:val="0"/>
                <w:sz w:val="17"/>
              </w:rPr>
              <w:t>Informed</w:t>
            </w:r>
          </w:p>
        </w:tc>
        <w:tc>
          <w:tcPr>
            <w:tcW w:type="dxa" w:w="3216"/>
          </w:tcPr>
          <w:p>
            <w:pPr>
              <w:spacing w:before="40" w:after="40"/>
            </w:pPr>
            <w:r>
              <w:rPr>
                <w:b w:val="0"/>
                <w:i w:val="0"/>
                <w:sz w:val="17"/>
              </w:rPr>
              <w:t>One-way notification after the fact.</w:t>
            </w:r>
          </w:p>
        </w:tc>
      </w:tr>
      <w:tr>
        <w:tc>
          <w:tcPr>
            <w:tcW w:type="dxa" w:w="3216"/>
          </w:tcPr>
          <w:p>
            <w:pPr>
              <w:spacing w:before="40" w:after="40"/>
            </w:pPr>
            <w:r>
              <w:rPr>
                <w:b w:val="0"/>
                <w:i w:val="0"/>
                <w:sz w:val="17"/>
              </w:rPr>
              <w:t>V</w:t>
            </w:r>
          </w:p>
        </w:tc>
        <w:tc>
          <w:tcPr>
            <w:tcW w:type="dxa" w:w="3216"/>
          </w:tcPr>
          <w:p>
            <w:pPr>
              <w:spacing w:before="40" w:after="40"/>
            </w:pPr>
            <w:r>
              <w:rPr>
                <w:b/>
                <w:i w:val="0"/>
                <w:sz w:val="17"/>
              </w:rPr>
              <w:t>Vote</w:t>
            </w:r>
          </w:p>
        </w:tc>
        <w:tc>
          <w:tcPr>
            <w:tcW w:type="dxa" w:w="3216"/>
          </w:tcPr>
          <w:p>
            <w:pPr>
              <w:spacing w:before="40" w:after="40"/>
            </w:pPr>
            <w:r>
              <w:rPr>
                <w:b/>
                <w:i w:val="0"/>
                <w:sz w:val="17"/>
              </w:rPr>
              <w:t>Casts a binding vote.</w:t>
            </w:r>
            <w:r>
              <w:rPr>
                <w:b w:val="0"/>
                <w:i w:val="0"/>
                <w:sz w:val="17"/>
              </w:rPr>
              <w:t xml:space="preserve"> Not standard RACI. Added because five executives decide gate outcomes and “Consulted” would misdescribe them.</w:t>
            </w:r>
          </w:p>
        </w:tc>
      </w:tr>
      <w:tr>
        <w:tc>
          <w:tcPr>
            <w:tcW w:type="dxa" w:w="3216"/>
          </w:tcPr>
          <w:p>
            <w:pPr>
              <w:spacing w:before="40" w:after="40"/>
            </w:pPr>
            <w:r>
              <w:rPr>
                <w:b w:val="0"/>
                <w:i w:val="0"/>
                <w:sz w:val="17"/>
              </w:rPr>
              <w:t>F</w:t>
            </w:r>
          </w:p>
        </w:tc>
        <w:tc>
          <w:tcPr>
            <w:tcW w:type="dxa" w:w="3216"/>
          </w:tcPr>
          <w:p>
            <w:pPr>
              <w:spacing w:before="40" w:after="40"/>
            </w:pPr>
            <w:r>
              <w:rPr>
                <w:b/>
                <w:i w:val="0"/>
                <w:sz w:val="17"/>
              </w:rPr>
              <w:t>Facilitate</w:t>
            </w:r>
          </w:p>
        </w:tc>
        <w:tc>
          <w:tcPr>
            <w:tcW w:type="dxa" w:w="3216"/>
          </w:tcPr>
          <w:p>
            <w:pPr>
              <w:spacing w:before="40" w:after="40"/>
            </w:pPr>
            <w:r>
              <w:rPr>
                <w:b/>
                <w:i w:val="0"/>
                <w:sz w:val="17"/>
              </w:rPr>
              <w:t>Answerable for the integrity of the evidence, without a vote</w:t>
            </w:r>
            <w:r>
              <w:rPr>
                <w:b w:val="0"/>
                <w:i w:val="0"/>
                <w:sz w:val="17"/>
              </w:rPr>
              <w:t xml:space="preserve"> (Decision D-11). Also not standard RACI.</w:t>
            </w:r>
          </w:p>
        </w:tc>
      </w:tr>
    </w:tbl>
    <w:p/>
    <w:p>
      <w:pPr>
        <w:spacing w:after="120"/>
      </w:pPr>
      <w:r>
        <w:rPr>
          <w:b/>
          <w:i w:val="0"/>
          <w:sz w:val="20"/>
        </w:rPr>
        <w:t>A/F</w:t>
      </w:r>
      <w:r>
        <w:rPr>
          <w:b w:val="0"/>
          <w:i w:val="0"/>
          <w:sz w:val="20"/>
        </w:rPr>
        <w:t xml:space="preserve"> appears once, at evidence certification, and is the single cell where the Chair is both answerable for an activity and facilitating the body that consumes it. It is called out rather than smoothed over.</w:t>
      </w:r>
    </w:p>
    <w:p>
      <w:pPr>
        <w:spacing w:before="200" w:after="80"/>
      </w:pPr>
      <w:r>
        <w:rPr>
          <w:b/>
          <w:i w:val="0"/>
          <w:color w:val="1B2130"/>
          <w:sz w:val="21"/>
        </w:rPr>
        <w:t>Roles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Code</w:t>
            </w:r>
          </w:p>
        </w:tc>
        <w:tc>
          <w:tcPr>
            <w:tcW w:type="dxa" w:w="4824"/>
            <w:shd w:val="clear" w:fill="14352A"/>
          </w:tcPr>
          <w:p>
            <w:pPr>
              <w:spacing w:before="40" w:after="40"/>
            </w:pPr>
            <w:r>
              <w:rPr>
                <w:b/>
                <w:i w:val="0"/>
                <w:color w:val="FFFFFF"/>
                <w:sz w:val="17"/>
              </w:rPr>
              <w:t>Role</w:t>
            </w:r>
          </w:p>
        </w:tc>
      </w:tr>
      <w:tr>
        <w:tc>
          <w:tcPr>
            <w:tcW w:type="dxa" w:w="4824"/>
          </w:tcPr>
          <w:p>
            <w:pPr>
              <w:spacing w:before="40" w:after="40"/>
            </w:pPr>
            <w:r>
              <w:rPr>
                <w:b/>
                <w:i w:val="0"/>
                <w:sz w:val="17"/>
              </w:rPr>
              <w:t>Chair</w:t>
            </w:r>
          </w:p>
        </w:tc>
        <w:tc>
          <w:tcPr>
            <w:tcW w:type="dxa" w:w="4824"/>
          </w:tcPr>
          <w:p>
            <w:pPr>
              <w:spacing w:before="40" w:after="40"/>
            </w:pPr>
            <w:r>
              <w:rPr>
                <w:b w:val="0"/>
                <w:i w:val="0"/>
                <w:sz w:val="17"/>
              </w:rPr>
              <w:t>C. Tyrrell — NPD Program Manager</w:t>
            </w:r>
          </w:p>
        </w:tc>
      </w:tr>
      <w:tr>
        <w:tc>
          <w:tcPr>
            <w:tcW w:type="dxa" w:w="4824"/>
          </w:tcPr>
          <w:p>
            <w:pPr>
              <w:spacing w:before="40" w:after="40"/>
            </w:pPr>
            <w:r>
              <w:rPr>
                <w:b/>
                <w:i w:val="0"/>
                <w:sz w:val="17"/>
              </w:rPr>
              <w:t>CPO</w:t>
            </w:r>
          </w:p>
        </w:tc>
        <w:tc>
          <w:tcPr>
            <w:tcW w:type="dxa" w:w="4824"/>
          </w:tcPr>
          <w:p>
            <w:pPr>
              <w:spacing w:before="40" w:after="40"/>
            </w:pPr>
            <w:r>
              <w:rPr>
                <w:b w:val="0"/>
                <w:i w:val="0"/>
                <w:sz w:val="17"/>
              </w:rPr>
              <w:t>G. Marchetti — Chief Product Officer, Sponsor</w:t>
            </w:r>
          </w:p>
        </w:tc>
      </w:tr>
      <w:tr>
        <w:tc>
          <w:tcPr>
            <w:tcW w:type="dxa" w:w="4824"/>
          </w:tcPr>
          <w:p>
            <w:pPr>
              <w:spacing w:before="40" w:after="40"/>
            </w:pPr>
            <w:r>
              <w:rPr>
                <w:b/>
                <w:i w:val="0"/>
                <w:sz w:val="17"/>
              </w:rPr>
              <w:t>CA</w:t>
            </w:r>
          </w:p>
        </w:tc>
        <w:tc>
          <w:tcPr>
            <w:tcW w:type="dxa" w:w="4824"/>
          </w:tcPr>
          <w:p>
            <w:pPr>
              <w:spacing w:before="40" w:after="40"/>
            </w:pPr>
            <w:r>
              <w:rPr>
                <w:b w:val="0"/>
                <w:i w:val="0"/>
                <w:sz w:val="17"/>
              </w:rPr>
              <w:t>N. Adeyemi — Chief Actuary</w:t>
            </w:r>
          </w:p>
        </w:tc>
      </w:tr>
      <w:tr>
        <w:tc>
          <w:tcPr>
            <w:tcW w:type="dxa" w:w="4824"/>
          </w:tcPr>
          <w:p>
            <w:pPr>
              <w:spacing w:before="40" w:after="40"/>
            </w:pPr>
            <w:r>
              <w:rPr>
                <w:b/>
                <w:i w:val="0"/>
                <w:sz w:val="17"/>
              </w:rPr>
              <w:t>GC</w:t>
            </w:r>
          </w:p>
        </w:tc>
        <w:tc>
          <w:tcPr>
            <w:tcW w:type="dxa" w:w="4824"/>
          </w:tcPr>
          <w:p>
            <w:pPr>
              <w:spacing w:before="40" w:after="40"/>
            </w:pPr>
            <w:r>
              <w:rPr>
                <w:b w:val="0"/>
                <w:i w:val="0"/>
                <w:sz w:val="17"/>
              </w:rPr>
              <w:t>B. Lindqvist — General Counsel &amp; CCO</w:t>
            </w:r>
          </w:p>
        </w:tc>
      </w:tr>
      <w:tr>
        <w:tc>
          <w:tcPr>
            <w:tcW w:type="dxa" w:w="4824"/>
          </w:tcPr>
          <w:p>
            <w:pPr>
              <w:spacing w:before="40" w:after="40"/>
            </w:pPr>
            <w:r>
              <w:rPr>
                <w:b/>
                <w:i w:val="0"/>
                <w:sz w:val="17"/>
              </w:rPr>
              <w:t>HoD</w:t>
            </w:r>
          </w:p>
        </w:tc>
        <w:tc>
          <w:tcPr>
            <w:tcW w:type="dxa" w:w="4824"/>
          </w:tcPr>
          <w:p>
            <w:pPr>
              <w:spacing w:before="40" w:after="40"/>
            </w:pPr>
            <w:r>
              <w:rPr>
                <w:b w:val="0"/>
                <w:i w:val="0"/>
                <w:sz w:val="17"/>
              </w:rPr>
              <w:t>R. Castellanos — Head of Distribution</w:t>
            </w:r>
          </w:p>
        </w:tc>
      </w:tr>
      <w:tr>
        <w:tc>
          <w:tcPr>
            <w:tcW w:type="dxa" w:w="4824"/>
          </w:tcPr>
          <w:p>
            <w:pPr>
              <w:spacing w:before="40" w:after="40"/>
            </w:pPr>
            <w:r>
              <w:rPr>
                <w:b/>
                <w:i w:val="0"/>
                <w:sz w:val="17"/>
              </w:rPr>
              <w:t>CFO</w:t>
            </w:r>
          </w:p>
        </w:tc>
        <w:tc>
          <w:tcPr>
            <w:tcW w:type="dxa" w:w="4824"/>
          </w:tcPr>
          <w:p>
            <w:pPr>
              <w:spacing w:before="40" w:after="40"/>
            </w:pPr>
            <w:r>
              <w:rPr>
                <w:b w:val="0"/>
                <w:i w:val="0"/>
                <w:sz w:val="17"/>
              </w:rPr>
              <w:t>J. Whitmore — Chief Financial Officer</w:t>
            </w:r>
          </w:p>
        </w:tc>
      </w:tr>
      <w:tr>
        <w:tc>
          <w:tcPr>
            <w:tcW w:type="dxa" w:w="4824"/>
          </w:tcPr>
          <w:p>
            <w:pPr>
              <w:spacing w:before="40" w:after="40"/>
            </w:pPr>
            <w:r>
              <w:rPr>
                <w:b/>
                <w:i w:val="0"/>
                <w:sz w:val="17"/>
              </w:rPr>
              <w:t>CRO</w:t>
            </w:r>
          </w:p>
        </w:tc>
        <w:tc>
          <w:tcPr>
            <w:tcW w:type="dxa" w:w="4824"/>
          </w:tcPr>
          <w:p>
            <w:pPr>
              <w:spacing w:before="40" w:after="40"/>
            </w:pPr>
            <w:r>
              <w:rPr>
                <w:b w:val="0"/>
                <w:i w:val="0"/>
                <w:sz w:val="17"/>
              </w:rPr>
              <w:t>D. Pemberton — Chief Risk Officer (observer)</w:t>
            </w:r>
          </w:p>
        </w:tc>
      </w:tr>
      <w:tr>
        <w:tc>
          <w:tcPr>
            <w:tcW w:type="dxa" w:w="4824"/>
          </w:tcPr>
          <w:p>
            <w:pPr>
              <w:spacing w:before="40" w:after="40"/>
            </w:pPr>
            <w:r>
              <w:rPr>
                <w:b/>
                <w:i w:val="0"/>
                <w:sz w:val="17"/>
              </w:rPr>
              <w:t>PMO</w:t>
            </w:r>
          </w:p>
        </w:tc>
        <w:tc>
          <w:tcPr>
            <w:tcW w:type="dxa" w:w="4824"/>
          </w:tcPr>
          <w:p>
            <w:pPr>
              <w:spacing w:before="40" w:after="40"/>
            </w:pPr>
            <w:r>
              <w:rPr>
                <w:b w:val="0"/>
                <w:i w:val="0"/>
                <w:sz w:val="17"/>
              </w:rPr>
              <w:t>K. Iyer — PMO Lead / Gate Secretariat</w:t>
            </w:r>
          </w:p>
        </w:tc>
      </w:tr>
    </w:tbl>
    <w:p/>
    <w:p>
      <w:pPr>
        <w:spacing w:before="280" w:after="80"/>
      </w:pPr>
      <w:r>
        <w:rPr>
          <w:b/>
          <w:i w:val="0"/>
          <w:color w:val="14352A"/>
          <w:sz w:val="28"/>
        </w:rPr>
        <w:t>3. Tier 1 — Governance Matrix</w:t>
      </w:r>
    </w:p>
    <w:p>
      <w:pPr>
        <w:spacing w:after="120"/>
      </w:pPr>
      <w:r>
        <w:rPr>
          <w:b w:val="0"/>
          <w:i w:val="0"/>
          <w:sz w:val="20"/>
        </w:rPr>
        <w:t xml:space="preserve">The nine seats that decide. This is the tier where </w:t>
      </w:r>
      <w:r>
        <w:rPr>
          <w:b/>
          <w:i w:val="0"/>
          <w:sz w:val="20"/>
        </w:rPr>
        <w:t>V</w:t>
      </w:r>
      <w:r>
        <w:rPr>
          <w:b w:val="0"/>
          <w:i w:val="0"/>
          <w:sz w:val="20"/>
        </w:rPr>
        <w:t xml:space="preserve"> and </w:t>
      </w:r>
      <w:r>
        <w:rPr>
          <w:b/>
          <w:i w:val="0"/>
          <w:sz w:val="20"/>
        </w:rPr>
        <w:t>F</w:t>
      </w:r>
      <w:r>
        <w:rPr>
          <w:b w:val="0"/>
          <w:i w:val="0"/>
          <w:sz w:val="20"/>
        </w:rPr>
        <w:t xml:space="preserve"> exist.</w:t>
      </w:r>
    </w:p>
    <w:tbl>
      <w:tblPr>
        <w:tblStyle w:val="TableGrid"/>
        <w:tblW w:type="auto" w:w="0"/>
        <w:jc w:val="center"/>
        <w:tblLook w:firstColumn="1" w:firstRow="1" w:lastColumn="0" w:lastRow="0" w:noHBand="0" w:noVBand="1" w:val="04A0"/>
      </w:tblPr>
      <w:tblGrid>
        <w:gridCol w:w="1072"/>
        <w:gridCol w:w="1072"/>
        <w:gridCol w:w="1072"/>
        <w:gridCol w:w="1072"/>
        <w:gridCol w:w="1072"/>
        <w:gridCol w:w="1072"/>
        <w:gridCol w:w="1072"/>
        <w:gridCol w:w="1072"/>
        <w:gridCol w:w="1072"/>
      </w:tblGrid>
      <w:tr>
        <w:tc>
          <w:tcPr>
            <w:tcW w:type="dxa" w:w="1072"/>
            <w:shd w:val="clear" w:fill="14352A"/>
          </w:tcPr>
          <w:p>
            <w:pPr>
              <w:spacing w:before="40" w:after="40"/>
            </w:pPr>
            <w:r>
              <w:rPr>
                <w:b/>
                <w:i w:val="0"/>
                <w:color w:val="FFFFFF"/>
                <w:sz w:val="17"/>
              </w:rPr>
              <w:t>Activity</w:t>
            </w:r>
          </w:p>
        </w:tc>
        <w:tc>
          <w:tcPr>
            <w:tcW w:type="dxa" w:w="1072"/>
            <w:shd w:val="clear" w:fill="14352A"/>
          </w:tcPr>
          <w:p>
            <w:pPr>
              <w:spacing w:before="40" w:after="40"/>
            </w:pPr>
            <w:r>
              <w:rPr>
                <w:b/>
                <w:i w:val="0"/>
                <w:color w:val="FFFFFF"/>
                <w:sz w:val="17"/>
              </w:rPr>
              <w:t>Chair</w:t>
            </w:r>
          </w:p>
        </w:tc>
        <w:tc>
          <w:tcPr>
            <w:tcW w:type="dxa" w:w="1072"/>
            <w:shd w:val="clear" w:fill="14352A"/>
          </w:tcPr>
          <w:p>
            <w:pPr>
              <w:spacing w:before="40" w:after="40"/>
            </w:pPr>
            <w:r>
              <w:rPr>
                <w:b/>
                <w:i w:val="0"/>
                <w:color w:val="FFFFFF"/>
                <w:sz w:val="17"/>
              </w:rPr>
              <w:t>CPO</w:t>
            </w:r>
          </w:p>
        </w:tc>
        <w:tc>
          <w:tcPr>
            <w:tcW w:type="dxa" w:w="1072"/>
            <w:shd w:val="clear" w:fill="14352A"/>
          </w:tcPr>
          <w:p>
            <w:pPr>
              <w:spacing w:before="40" w:after="40"/>
            </w:pPr>
            <w:r>
              <w:rPr>
                <w:b/>
                <w:i w:val="0"/>
                <w:color w:val="FFFFFF"/>
                <w:sz w:val="17"/>
              </w:rPr>
              <w:t>CA</w:t>
            </w:r>
          </w:p>
        </w:tc>
        <w:tc>
          <w:tcPr>
            <w:tcW w:type="dxa" w:w="1072"/>
            <w:shd w:val="clear" w:fill="14352A"/>
          </w:tcPr>
          <w:p>
            <w:pPr>
              <w:spacing w:before="40" w:after="40"/>
            </w:pPr>
            <w:r>
              <w:rPr>
                <w:b/>
                <w:i w:val="0"/>
                <w:color w:val="FFFFFF"/>
                <w:sz w:val="17"/>
              </w:rPr>
              <w:t>GC</w:t>
            </w:r>
          </w:p>
        </w:tc>
        <w:tc>
          <w:tcPr>
            <w:tcW w:type="dxa" w:w="1072"/>
            <w:shd w:val="clear" w:fill="14352A"/>
          </w:tcPr>
          <w:p>
            <w:pPr>
              <w:spacing w:before="40" w:after="40"/>
            </w:pPr>
            <w:r>
              <w:rPr>
                <w:b/>
                <w:i w:val="0"/>
                <w:color w:val="FFFFFF"/>
                <w:sz w:val="17"/>
              </w:rPr>
              <w:t>HoD</w:t>
            </w:r>
          </w:p>
        </w:tc>
        <w:tc>
          <w:tcPr>
            <w:tcW w:type="dxa" w:w="1072"/>
            <w:shd w:val="clear" w:fill="14352A"/>
          </w:tcPr>
          <w:p>
            <w:pPr>
              <w:spacing w:before="40" w:after="40"/>
            </w:pPr>
            <w:r>
              <w:rPr>
                <w:b/>
                <w:i w:val="0"/>
                <w:color w:val="FFFFFF"/>
                <w:sz w:val="17"/>
              </w:rPr>
              <w:t>CFO</w:t>
            </w:r>
          </w:p>
        </w:tc>
        <w:tc>
          <w:tcPr>
            <w:tcW w:type="dxa" w:w="1072"/>
            <w:shd w:val="clear" w:fill="14352A"/>
          </w:tcPr>
          <w:p>
            <w:pPr>
              <w:spacing w:before="40" w:after="40"/>
            </w:pPr>
            <w:r>
              <w:rPr>
                <w:b/>
                <w:i w:val="0"/>
                <w:color w:val="FFFFFF"/>
                <w:sz w:val="17"/>
              </w:rPr>
              <w:t>CRO</w:t>
            </w:r>
          </w:p>
        </w:tc>
        <w:tc>
          <w:tcPr>
            <w:tcW w:type="dxa" w:w="1072"/>
            <w:shd w:val="clear" w:fill="14352A"/>
          </w:tcPr>
          <w:p>
            <w:pPr>
              <w:spacing w:before="40" w:after="40"/>
            </w:pPr>
            <w:r>
              <w:rPr>
                <w:b/>
                <w:i w:val="0"/>
                <w:color w:val="FFFFFF"/>
                <w:sz w:val="17"/>
              </w:rPr>
              <w:t>PMO</w:t>
            </w:r>
          </w:p>
        </w:tc>
      </w:tr>
      <w:tr>
        <w:tc>
          <w:tcPr>
            <w:tcW w:type="dxa" w:w="9648"/>
            <w:gridSpan w:val="9"/>
          </w:tcPr>
          <w:p>
            <w:pPr>
              <w:spacing w:before="40" w:after="40"/>
            </w:pPr>
            <w:r>
              <w:rPr>
                <w:b w:val="0"/>
                <w:i w:val="0"/>
                <w:sz w:val="17"/>
              </w:rPr>
              <w:t>Gate operations</w:t>
            </w:r>
          </w:p>
        </w:tc>
      </w:tr>
      <w:tr>
        <w:tc>
          <w:tcPr>
            <w:tcW w:type="dxa" w:w="1072"/>
          </w:tcPr>
          <w:p>
            <w:pPr>
              <w:spacing w:before="40" w:after="40"/>
            </w:pPr>
            <w:r>
              <w:rPr>
                <w:b w:val="0"/>
                <w:i w:val="0"/>
                <w:sz w:val="17"/>
              </w:rPr>
              <w:t>Assemble the gate package</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c>
          <w:tcPr>
            <w:tcW w:type="dxa" w:w="1072"/>
          </w:tcPr>
          <w:p>
            <w:pPr>
              <w:spacing w:before="40" w:after="40"/>
            </w:pPr>
            <w:r>
              <w:rPr>
                <w:b w:val="0"/>
                <w:i w:val="0"/>
                <w:sz w:val="17"/>
              </w:rPr>
              <w:t>R</w:t>
            </w:r>
          </w:p>
        </w:tc>
      </w:tr>
      <w:tr>
        <w:tc>
          <w:tcPr>
            <w:tcW w:type="dxa" w:w="1072"/>
          </w:tcPr>
          <w:p>
            <w:pPr>
              <w:spacing w:before="40" w:after="40"/>
            </w:pPr>
            <w:r>
              <w:rPr>
                <w:b w:val="0"/>
                <w:i w:val="0"/>
                <w:sz w:val="17"/>
              </w:rPr>
              <w:t>Certify that tabled evidence meets the recorded standard</w:t>
            </w:r>
          </w:p>
        </w:tc>
        <w:tc>
          <w:tcPr>
            <w:tcW w:type="dxa" w:w="1072"/>
          </w:tcPr>
          <w:p>
            <w:pPr>
              <w:spacing w:before="40" w:after="40"/>
            </w:pPr>
            <w:r>
              <w:rPr>
                <w:b w:val="0"/>
                <w:i w:val="0"/>
                <w:sz w:val="17"/>
              </w:rPr>
              <w:t>A/F</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R</w:t>
            </w:r>
          </w:p>
        </w:tc>
      </w:tr>
      <w:tr>
        <w:tc>
          <w:tcPr>
            <w:tcW w:type="dxa" w:w="1072"/>
          </w:tcPr>
          <w:p>
            <w:pPr>
              <w:spacing w:before="40" w:after="40"/>
            </w:pPr>
            <w:r>
              <w:rPr>
                <w:b w:val="0"/>
                <w:i w:val="0"/>
                <w:sz w:val="17"/>
              </w:rPr>
              <w:t>Score should-meet criteria</w:t>
            </w:r>
          </w:p>
        </w:tc>
        <w:tc>
          <w:tcPr>
            <w:tcW w:type="dxa" w:w="1072"/>
          </w:tcPr>
          <w:p>
            <w:pPr>
              <w:spacing w:before="40" w:after="40"/>
            </w:pPr>
            <w:r>
              <w:rPr>
                <w:b w:val="0"/>
                <w:i w:val="0"/>
                <w:sz w:val="17"/>
              </w:rPr>
              <w:t>F</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C</w:t>
            </w:r>
          </w:p>
        </w:tc>
        <w:tc>
          <w:tcPr>
            <w:tcW w:type="dxa" w:w="1072"/>
          </w:tcPr>
          <w:p>
            <w:pPr>
              <w:spacing w:before="40" w:after="40"/>
            </w:pPr>
            <w:r>
              <w:rPr>
                <w:b w:val="0"/>
                <w:i w:val="0"/>
                <w:sz w:val="17"/>
              </w:rPr>
              <w:t>R</w:t>
            </w:r>
          </w:p>
        </w:tc>
      </w:tr>
      <w:tr>
        <w:tc>
          <w:tcPr>
            <w:tcW w:type="dxa" w:w="1072"/>
          </w:tcPr>
          <w:p>
            <w:pPr>
              <w:spacing w:before="40" w:after="40"/>
            </w:pPr>
            <w:r>
              <w:rPr>
                <w:b w:val="0"/>
                <w:i w:val="0"/>
                <w:sz w:val="17"/>
              </w:rPr>
              <w:t>Certify must-meet criteria in own function</w:t>
            </w:r>
          </w:p>
        </w:tc>
        <w:tc>
          <w:tcPr>
            <w:tcW w:type="dxa" w:w="1072"/>
          </w:tcPr>
          <w:p>
            <w:pPr>
              <w:spacing w:before="40" w:after="40"/>
            </w:pPr>
            <w:r>
              <w:rPr>
                <w:b w:val="0"/>
                <w:i w:val="0"/>
                <w:sz w:val="17"/>
              </w:rPr>
              <w:t>F</w:t>
            </w:r>
          </w:p>
        </w:tc>
        <w:tc>
          <w:tcPr>
            <w:tcW w:type="dxa" w:w="1072"/>
          </w:tcPr>
          <w:p>
            <w:pPr>
              <w:spacing w:before="40" w:after="40"/>
            </w:pPr>
            <w:r>
              <w:rPr>
                <w:b w:val="0"/>
                <w:i w:val="0"/>
                <w:sz w:val="17"/>
              </w:rPr>
              <w:t>I</w:t>
            </w:r>
          </w:p>
        </w:tc>
        <w:tc>
          <w:tcPr>
            <w:tcW w:type="dxa" w:w="1072"/>
          </w:tcPr>
          <w:p>
            <w:pPr>
              <w:spacing w:before="40" w:after="40"/>
            </w:pPr>
            <w:r>
              <w:rPr>
                <w:b w:val="0"/>
                <w:i w:val="0"/>
                <w:sz w:val="17"/>
              </w:rPr>
              <w:t>A</w:t>
            </w:r>
          </w:p>
        </w:tc>
        <w:tc>
          <w:tcPr>
            <w:tcW w:type="dxa" w:w="1072"/>
          </w:tcPr>
          <w:p>
            <w:pPr>
              <w:spacing w:before="40" w:after="40"/>
            </w:pPr>
            <w:r>
              <w:rPr>
                <w:b w:val="0"/>
                <w:i w:val="0"/>
                <w:sz w:val="17"/>
              </w:rPr>
              <w:t>A</w:t>
            </w:r>
          </w:p>
        </w:tc>
        <w:tc>
          <w:tcPr>
            <w:tcW w:type="dxa" w:w="1072"/>
          </w:tcPr>
          <w:p>
            <w:pPr>
              <w:spacing w:before="40" w:after="40"/>
            </w:pPr>
            <w:r>
              <w:rPr>
                <w:b w:val="0"/>
                <w:i w:val="0"/>
                <w:sz w:val="17"/>
              </w:rPr>
              <w:t>A</w:t>
            </w:r>
          </w:p>
        </w:tc>
        <w:tc>
          <w:tcPr>
            <w:tcW w:type="dxa" w:w="1072"/>
          </w:tcPr>
          <w:p>
            <w:pPr>
              <w:spacing w:before="40" w:after="40"/>
            </w:pPr>
            <w:r>
              <w:rPr>
                <w:b w:val="0"/>
                <w:i w:val="0"/>
                <w:sz w:val="17"/>
              </w:rPr>
              <w:t>A</w:t>
            </w:r>
          </w:p>
        </w:tc>
        <w:tc>
          <w:tcPr>
            <w:tcW w:type="dxa" w:w="1072"/>
          </w:tcPr>
          <w:p>
            <w:pPr>
              <w:spacing w:before="40" w:after="40"/>
            </w:pPr>
            <w:r>
              <w:rPr>
                <w:b w:val="0"/>
                <w:i w:val="0"/>
                <w:sz w:val="17"/>
              </w:rPr>
              <w:t>C</w:t>
            </w:r>
          </w:p>
        </w:tc>
        <w:tc>
          <w:tcPr>
            <w:tcW w:type="dxa" w:w="1072"/>
          </w:tcPr>
          <w:p>
            <w:pPr>
              <w:spacing w:before="40" w:after="40"/>
            </w:pPr>
            <w:r>
              <w:rPr>
                <w:b w:val="0"/>
                <w:i w:val="0"/>
                <w:sz w:val="17"/>
              </w:rPr>
              <w:t>R</w:t>
            </w:r>
          </w:p>
        </w:tc>
      </w:tr>
      <w:tr>
        <w:tc>
          <w:tcPr>
            <w:tcW w:type="dxa" w:w="1072"/>
          </w:tcPr>
          <w:p>
            <w:pPr>
              <w:spacing w:before="40" w:after="40"/>
            </w:pPr>
            <w:r>
              <w:rPr>
                <w:b/>
                <w:i w:val="0"/>
                <w:sz w:val="17"/>
              </w:rPr>
              <w:t>Decide the gate outcome</w:t>
            </w:r>
          </w:p>
        </w:tc>
        <w:tc>
          <w:tcPr>
            <w:tcW w:type="dxa" w:w="1072"/>
          </w:tcPr>
          <w:p>
            <w:pPr>
              <w:spacing w:before="40" w:after="40"/>
            </w:pPr>
            <w:r>
              <w:rPr>
                <w:b w:val="0"/>
                <w:i w:val="0"/>
                <w:sz w:val="17"/>
              </w:rPr>
              <w:t>F</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r>
      <w:tr>
        <w:tc>
          <w:tcPr>
            <w:tcW w:type="dxa" w:w="1072"/>
          </w:tcPr>
          <w:p>
            <w:pPr>
              <w:spacing w:before="40" w:after="40"/>
            </w:pPr>
            <w:r>
              <w:rPr>
                <w:b w:val="0"/>
                <w:i w:val="0"/>
                <w:sz w:val="17"/>
              </w:rPr>
              <w:t>Record dissent in the gate package</w:t>
            </w:r>
          </w:p>
        </w:tc>
        <w:tc>
          <w:tcPr>
            <w:tcW w:type="dxa" w:w="1072"/>
          </w:tcPr>
          <w:p>
            <w:pPr>
              <w:spacing w:before="40" w:after="40"/>
            </w:pPr>
            <w:r>
              <w:rPr>
                <w:b w:val="0"/>
                <w:i w:val="0"/>
                <w:sz w:val="17"/>
              </w:rPr>
              <w:t>A</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R</w:t>
            </w:r>
          </w:p>
        </w:tc>
      </w:tr>
      <w:tr>
        <w:tc>
          <w:tcPr>
            <w:tcW w:type="dxa" w:w="1072"/>
          </w:tcPr>
          <w:p>
            <w:pPr>
              <w:spacing w:before="40" w:after="40"/>
            </w:pPr>
            <w:r>
              <w:rPr>
                <w:b w:val="0"/>
                <w:i w:val="0"/>
                <w:sz w:val="17"/>
              </w:rPr>
              <w:t>Issue gate conditions</w:t>
            </w:r>
          </w:p>
        </w:tc>
        <w:tc>
          <w:tcPr>
            <w:tcW w:type="dxa" w:w="1072"/>
          </w:tcPr>
          <w:p>
            <w:pPr>
              <w:spacing w:before="40" w:after="40"/>
            </w:pPr>
            <w:r>
              <w:rPr>
                <w:b w:val="0"/>
                <w:i w:val="0"/>
                <w:sz w:val="17"/>
              </w:rPr>
              <w:t>R</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C</w:t>
            </w:r>
          </w:p>
        </w:tc>
        <w:tc>
          <w:tcPr>
            <w:tcW w:type="dxa" w:w="1072"/>
          </w:tcPr>
          <w:p>
            <w:pPr>
              <w:spacing w:before="40" w:after="40"/>
            </w:pPr>
            <w:r>
              <w:rPr>
                <w:b w:val="0"/>
                <w:i w:val="0"/>
                <w:sz w:val="17"/>
              </w:rPr>
              <w:t>R</w:t>
            </w:r>
          </w:p>
        </w:tc>
      </w:tr>
      <w:tr>
        <w:tc>
          <w:tcPr>
            <w:tcW w:type="dxa" w:w="1072"/>
          </w:tcPr>
          <w:p>
            <w:pPr>
              <w:spacing w:before="40" w:after="40"/>
            </w:pPr>
            <w:r>
              <w:rPr>
                <w:b w:val="0"/>
                <w:i w:val="0"/>
                <w:sz w:val="17"/>
              </w:rPr>
              <w:t>Verify and close a condition</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R</w:t>
            </w:r>
          </w:p>
        </w:tc>
      </w:tr>
      <w:tr>
        <w:tc>
          <w:tcPr>
            <w:tcW w:type="dxa" w:w="1072"/>
          </w:tcPr>
          <w:p>
            <w:pPr>
              <w:spacing w:before="40" w:after="40"/>
            </w:pPr>
            <w:r>
              <w:rPr>
                <w:b w:val="0"/>
                <w:i w:val="0"/>
                <w:sz w:val="17"/>
              </w:rPr>
              <w:t>Authorize a contingency draw</w:t>
            </w:r>
          </w:p>
        </w:tc>
        <w:tc>
          <w:tcPr>
            <w:tcW w:type="dxa" w:w="1072"/>
          </w:tcPr>
          <w:p>
            <w:pPr>
              <w:spacing w:before="40" w:after="40"/>
            </w:pPr>
            <w:r>
              <w:rPr>
                <w:b w:val="0"/>
                <w:i w:val="0"/>
                <w:sz w:val="17"/>
              </w:rPr>
              <w:t>R</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V</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r>
      <w:tr>
        <w:tc>
          <w:tcPr>
            <w:tcW w:type="dxa" w:w="1072"/>
          </w:tcPr>
          <w:p>
            <w:pPr>
              <w:spacing w:before="40" w:after="40"/>
            </w:pPr>
            <w:r>
              <w:rPr>
                <w:b w:val="0"/>
                <w:i w:val="0"/>
                <w:sz w:val="17"/>
              </w:rPr>
              <w:t>Issue a vendor release notice</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R</w:t>
            </w:r>
          </w:p>
        </w:tc>
      </w:tr>
      <w:tr>
        <w:tc>
          <w:tcPr>
            <w:tcW w:type="dxa" w:w="9648"/>
            <w:gridSpan w:val="9"/>
          </w:tcPr>
          <w:p>
            <w:pPr>
              <w:spacing w:before="40" w:after="40"/>
            </w:pPr>
            <w:r>
              <w:rPr>
                <w:b w:val="0"/>
                <w:i w:val="0"/>
                <w:sz w:val="17"/>
              </w:rPr>
              <w:t>Program management</w:t>
            </w:r>
          </w:p>
        </w:tc>
      </w:tr>
      <w:tr>
        <w:tc>
          <w:tcPr>
            <w:tcW w:type="dxa" w:w="1072"/>
          </w:tcPr>
          <w:p>
            <w:pPr>
              <w:spacing w:before="40" w:after="40"/>
            </w:pPr>
            <w:r>
              <w:rPr>
                <w:b w:val="0"/>
                <w:i w:val="0"/>
                <w:sz w:val="17"/>
              </w:rPr>
              <w:t>Maintain the program budget and tranche ledger</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r>
      <w:tr>
        <w:tc>
          <w:tcPr>
            <w:tcW w:type="dxa" w:w="1072"/>
          </w:tcPr>
          <w:p>
            <w:pPr>
              <w:spacing w:before="40" w:after="40"/>
            </w:pPr>
            <w:r>
              <w:rPr>
                <w:b w:val="0"/>
                <w:i w:val="0"/>
                <w:sz w:val="17"/>
              </w:rPr>
              <w:t>Maintain the RAIDD register</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R</w:t>
            </w:r>
          </w:p>
        </w:tc>
      </w:tr>
      <w:tr>
        <w:tc>
          <w:tcPr>
            <w:tcW w:type="dxa" w:w="1072"/>
          </w:tcPr>
          <w:p>
            <w:pPr>
              <w:spacing w:before="40" w:after="40"/>
            </w:pPr>
            <w:r>
              <w:rPr>
                <w:b w:val="0"/>
                <w:i w:val="0"/>
                <w:sz w:val="17"/>
              </w:rPr>
              <w:t>Publish the dashboard and weekly status</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R</w:t>
            </w:r>
          </w:p>
        </w:tc>
      </w:tr>
      <w:tr>
        <w:tc>
          <w:tcPr>
            <w:tcW w:type="dxa" w:w="1072"/>
          </w:tcPr>
          <w:p>
            <w:pPr>
              <w:spacing w:before="40" w:after="40"/>
            </w:pPr>
            <w:r>
              <w:rPr>
                <w:b w:val="0"/>
                <w:i w:val="0"/>
                <w:sz w:val="17"/>
              </w:rPr>
              <w:t>Resource the program from functional teams</w:t>
            </w:r>
          </w:p>
        </w:tc>
        <w:tc>
          <w:tcPr>
            <w:tcW w:type="dxa" w:w="1072"/>
          </w:tcPr>
          <w:p>
            <w:pPr>
              <w:spacing w:before="40" w:after="40"/>
            </w:pPr>
            <w:r>
              <w:rPr>
                <w:b w:val="0"/>
                <w:i w:val="0"/>
                <w:sz w:val="17"/>
              </w:rPr>
              <w:t>C</w:t>
            </w:r>
          </w:p>
        </w:tc>
        <w:tc>
          <w:tcPr>
            <w:tcW w:type="dxa" w:w="1072"/>
          </w:tcPr>
          <w:p>
            <w:pPr>
              <w:spacing w:before="40" w:after="40"/>
            </w:pPr>
            <w:r>
              <w:rPr>
                <w:b w:val="0"/>
                <w:i w:val="0"/>
                <w:sz w:val="17"/>
              </w:rPr>
              <w:t>A</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r>
      <w:tr>
        <w:tc>
          <w:tcPr>
            <w:tcW w:type="dxa" w:w="9648"/>
            <w:gridSpan w:val="9"/>
          </w:tcPr>
          <w:p>
            <w:pPr>
              <w:spacing w:before="40" w:after="40"/>
            </w:pPr>
            <w:r>
              <w:rPr>
                <w:b w:val="0"/>
                <w:i w:val="0"/>
                <w:sz w:val="17"/>
              </w:rPr>
              <w:t>Product &amp; regulatory</w:t>
            </w:r>
          </w:p>
        </w:tc>
      </w:tr>
      <w:tr>
        <w:tc>
          <w:tcPr>
            <w:tcW w:type="dxa" w:w="1072"/>
          </w:tcPr>
          <w:p>
            <w:pPr>
              <w:spacing w:before="40" w:after="40"/>
            </w:pPr>
            <w:r>
              <w:rPr>
                <w:b w:val="0"/>
                <w:i w:val="0"/>
                <w:sz w:val="17"/>
              </w:rPr>
              <w:t>Set and sign the pricing basis</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r>
      <w:tr>
        <w:tc>
          <w:tcPr>
            <w:tcW w:type="dxa" w:w="1072"/>
          </w:tcPr>
          <w:p>
            <w:pPr>
              <w:spacing w:before="40" w:after="40"/>
            </w:pPr>
            <w:r>
              <w:rPr>
                <w:b w:val="0"/>
                <w:i w:val="0"/>
                <w:sz w:val="17"/>
              </w:rPr>
              <w:t>Draft and clear contract forms</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r>
      <w:tr>
        <w:tc>
          <w:tcPr>
            <w:tcW w:type="dxa" w:w="1072"/>
          </w:tcPr>
          <w:p>
            <w:pPr>
              <w:spacing w:before="40" w:after="40"/>
            </w:pPr>
            <w:r>
              <w:rPr>
                <w:b w:val="0"/>
                <w:i w:val="0"/>
                <w:sz w:val="17"/>
              </w:rPr>
              <w:t>Submit and manage regulatory filings</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r>
      <w:tr>
        <w:tc>
          <w:tcPr>
            <w:tcW w:type="dxa" w:w="1072"/>
          </w:tcPr>
          <w:p>
            <w:pPr>
              <w:spacing w:before="40" w:after="40"/>
            </w:pPr>
            <w:r>
              <w:rPr>
                <w:b w:val="0"/>
                <w:i w:val="0"/>
                <w:sz w:val="17"/>
              </w:rPr>
              <w:t>Establish hedging capability</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A</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r>
      <w:tr>
        <w:tc>
          <w:tcPr>
            <w:tcW w:type="dxa" w:w="1072"/>
          </w:tcPr>
          <w:p>
            <w:pPr>
              <w:spacing w:before="40" w:after="40"/>
            </w:pPr>
            <w:r>
              <w:rPr>
                <w:b w:val="0"/>
                <w:i w:val="0"/>
                <w:sz w:val="17"/>
              </w:rPr>
              <w:t>Secure written channel commitments</w:t>
            </w:r>
          </w:p>
        </w:tc>
        <w:tc>
          <w:tcPr>
            <w:tcW w:type="dxa" w:w="1072"/>
          </w:tcPr>
          <w:p>
            <w:pPr>
              <w:spacing w:before="40" w:after="40"/>
            </w:pPr>
            <w:r>
              <w:rPr>
                <w:b w:val="0"/>
                <w:i w:val="0"/>
                <w:sz w:val="17"/>
              </w:rPr>
              <w:t>C</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A</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r>
      <w:tr>
        <w:tc>
          <w:tcPr>
            <w:tcW w:type="dxa" w:w="1072"/>
          </w:tcPr>
          <w:p>
            <w:pPr>
              <w:spacing w:before="40" w:after="40"/>
            </w:pPr>
            <w:r>
              <w:rPr>
                <w:b w:val="0"/>
                <w:i w:val="0"/>
                <w:sz w:val="17"/>
              </w:rPr>
              <w:t>Deliver suitability and best-interest training</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A</w:t>
            </w:r>
          </w:p>
        </w:tc>
        <w:tc>
          <w:tcPr>
            <w:tcW w:type="dxa" w:w="1072"/>
          </w:tcPr>
          <w:p>
            <w:pPr>
              <w:spacing w:before="40" w:after="40"/>
            </w:pPr>
            <w:r>
              <w:rPr>
                <w:b w:val="0"/>
                <w:i w:val="0"/>
                <w:sz w:val="17"/>
              </w:rPr>
              <w:t>C</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c>
          <w:tcPr>
            <w:tcW w:type="dxa" w:w="1072"/>
          </w:tcPr>
          <w:p>
            <w:pPr>
              <w:spacing w:before="40" w:after="40"/>
            </w:pPr>
            <w:r>
              <w:rPr>
                <w:b w:val="0"/>
                <w:i w:val="0"/>
                <w:sz w:val="17"/>
              </w:rPr>
              <w:t>I</w:t>
            </w:r>
          </w:p>
        </w:tc>
      </w:tr>
    </w:tbl>
    <w:p/>
    <w:p>
      <w:pPr>
        <w:spacing w:before="280" w:after="80"/>
      </w:pPr>
      <w:r>
        <w:rPr>
          <w:b/>
          <w:i w:val="0"/>
          <w:color w:val="14352A"/>
          <w:sz w:val="28"/>
        </w:rPr>
        <w:t>4. Tier 2 — Delivery Matrix, by Individual</w:t>
      </w:r>
    </w:p>
    <w:p>
      <w:pPr>
        <w:spacing w:after="120"/>
      </w:pPr>
      <w:r>
        <w:rPr>
          <w:b w:val="0"/>
          <w:i w:val="0"/>
          <w:sz w:val="20"/>
        </w:rPr>
        <w:t xml:space="preserve">The governance matrix above names seats. This one names </w:t>
      </w:r>
      <w:r>
        <w:rPr>
          <w:b/>
          <w:i w:val="0"/>
          <w:sz w:val="20"/>
        </w:rPr>
        <w:t>people</w:t>
      </w:r>
      <w:r>
        <w:rPr>
          <w:b w:val="0"/>
          <w:i w:val="0"/>
          <w:sz w:val="20"/>
        </w:rPr>
        <w:t xml:space="preserve"> — every delivery owner is a specific individual from the 90-person roster, validated at generation time, and the generator refuses to write if any of them is not a real member of the program.</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first version of this document had a single column labeled “Functional team leads”.</w:t>
            </w:r>
            <w:r>
              <w:rPr>
                <w:b w:val="0"/>
                <w:i w:val="0"/>
                <w:sz w:val="20"/>
              </w:rPr>
              <w:t xml:space="preserve"> That is a bucket, not a person — and a RACI whose delivery tier is a bucket cannot be used for the thing a RACI is for, which is knowing who to ask. Twelve named owners replace it. </w:t>
            </w:r>
          </w:p>
        </w:tc>
      </w:tr>
    </w:tbl>
    <w:p/>
    <w:tbl>
      <w:tblPr>
        <w:tblStyle w:val="TableGrid"/>
        <w:tblW w:type="auto" w:w="0"/>
        <w:jc w:val="center"/>
        <w:tblLook w:firstColumn="1" w:firstRow="1" w:lastColumn="0" w:lastRow="0" w:noHBand="0" w:noVBand="1" w:val="04A0"/>
      </w:tblPr>
      <w:tblGrid>
        <w:gridCol w:w="742"/>
        <w:gridCol w:w="742"/>
        <w:gridCol w:w="742"/>
        <w:gridCol w:w="742"/>
        <w:gridCol w:w="742"/>
        <w:gridCol w:w="742"/>
        <w:gridCol w:w="742"/>
        <w:gridCol w:w="742"/>
        <w:gridCol w:w="742"/>
        <w:gridCol w:w="742"/>
        <w:gridCol w:w="742"/>
        <w:gridCol w:w="742"/>
        <w:gridCol w:w="742"/>
      </w:tblGrid>
      <w:tr>
        <w:tc>
          <w:tcPr>
            <w:tcW w:type="dxa" w:w="742"/>
            <w:shd w:val="clear" w:fill="14352A"/>
          </w:tcPr>
          <w:p>
            <w:pPr>
              <w:spacing w:before="40" w:after="40"/>
            </w:pPr>
            <w:r>
              <w:rPr>
                <w:b/>
                <w:i w:val="0"/>
                <w:color w:val="FFFFFF"/>
                <w:sz w:val="17"/>
              </w:rPr>
              <w:t>Delivery activity</w:t>
            </w:r>
          </w:p>
        </w:tc>
        <w:tc>
          <w:tcPr>
            <w:tcW w:type="dxa" w:w="742"/>
            <w:shd w:val="clear" w:fill="14352A"/>
          </w:tcPr>
          <w:p>
            <w:pPr>
              <w:spacing w:before="40" w:after="40"/>
            </w:pPr>
            <w:r>
              <w:rPr>
                <w:b/>
                <w:i w:val="0"/>
                <w:color w:val="FFFFFF"/>
                <w:sz w:val="17"/>
              </w:rPr>
              <w:t>DF</w:t>
            </w:r>
          </w:p>
        </w:tc>
        <w:tc>
          <w:tcPr>
            <w:tcW w:type="dxa" w:w="742"/>
            <w:shd w:val="clear" w:fill="14352A"/>
          </w:tcPr>
          <w:p>
            <w:pPr>
              <w:spacing w:before="40" w:after="40"/>
            </w:pPr>
            <w:r>
              <w:rPr>
                <w:b/>
                <w:i w:val="0"/>
                <w:color w:val="FFFFFF"/>
                <w:sz w:val="17"/>
              </w:rPr>
              <w:t>SR</w:t>
            </w:r>
          </w:p>
        </w:tc>
        <w:tc>
          <w:tcPr>
            <w:tcW w:type="dxa" w:w="742"/>
            <w:shd w:val="clear" w:fill="14352A"/>
          </w:tcPr>
          <w:p>
            <w:pPr>
              <w:spacing w:before="40" w:after="40"/>
            </w:pPr>
            <w:r>
              <w:rPr>
                <w:b/>
                <w:i w:val="0"/>
                <w:color w:val="FFFFFF"/>
                <w:sz w:val="17"/>
              </w:rPr>
              <w:t>TB</w:t>
            </w:r>
          </w:p>
        </w:tc>
        <w:tc>
          <w:tcPr>
            <w:tcW w:type="dxa" w:w="742"/>
            <w:shd w:val="clear" w:fill="14352A"/>
          </w:tcPr>
          <w:p>
            <w:pPr>
              <w:spacing w:before="40" w:after="40"/>
            </w:pPr>
            <w:r>
              <w:rPr>
                <w:b/>
                <w:i w:val="0"/>
                <w:color w:val="FFFFFF"/>
                <w:sz w:val="17"/>
              </w:rPr>
              <w:t>MD</w:t>
            </w:r>
          </w:p>
        </w:tc>
        <w:tc>
          <w:tcPr>
            <w:tcW w:type="dxa" w:w="742"/>
            <w:shd w:val="clear" w:fill="14352A"/>
          </w:tcPr>
          <w:p>
            <w:pPr>
              <w:spacing w:before="40" w:after="40"/>
            </w:pPr>
            <w:r>
              <w:rPr>
                <w:b/>
                <w:i w:val="0"/>
                <w:color w:val="FFFFFF"/>
                <w:sz w:val="17"/>
              </w:rPr>
              <w:t>VS</w:t>
            </w:r>
          </w:p>
        </w:tc>
        <w:tc>
          <w:tcPr>
            <w:tcW w:type="dxa" w:w="742"/>
            <w:shd w:val="clear" w:fill="14352A"/>
          </w:tcPr>
          <w:p>
            <w:pPr>
              <w:spacing w:before="40" w:after="40"/>
            </w:pPr>
            <w:r>
              <w:rPr>
                <w:b/>
                <w:i w:val="0"/>
                <w:color w:val="FFFFFF"/>
                <w:sz w:val="17"/>
              </w:rPr>
              <w:t>EK</w:t>
            </w:r>
          </w:p>
        </w:tc>
        <w:tc>
          <w:tcPr>
            <w:tcW w:type="dxa" w:w="742"/>
            <w:shd w:val="clear" w:fill="14352A"/>
          </w:tcPr>
          <w:p>
            <w:pPr>
              <w:spacing w:before="40" w:after="40"/>
            </w:pPr>
            <w:r>
              <w:rPr>
                <w:b/>
                <w:i w:val="0"/>
                <w:color w:val="FFFFFF"/>
                <w:sz w:val="17"/>
              </w:rPr>
              <w:t>PH</w:t>
            </w:r>
          </w:p>
        </w:tc>
        <w:tc>
          <w:tcPr>
            <w:tcW w:type="dxa" w:w="742"/>
            <w:shd w:val="clear" w:fill="14352A"/>
          </w:tcPr>
          <w:p>
            <w:pPr>
              <w:spacing w:before="40" w:after="40"/>
            </w:pPr>
            <w:r>
              <w:rPr>
                <w:b/>
                <w:i w:val="0"/>
                <w:color w:val="FFFFFF"/>
                <w:sz w:val="17"/>
              </w:rPr>
              <w:t>AN</w:t>
            </w:r>
          </w:p>
        </w:tc>
        <w:tc>
          <w:tcPr>
            <w:tcW w:type="dxa" w:w="742"/>
            <w:shd w:val="clear" w:fill="14352A"/>
          </w:tcPr>
          <w:p>
            <w:pPr>
              <w:spacing w:before="40" w:after="40"/>
            </w:pPr>
            <w:r>
              <w:rPr>
                <w:b/>
                <w:i w:val="0"/>
                <w:color w:val="FFFFFF"/>
                <w:sz w:val="17"/>
              </w:rPr>
              <w:t>LM</w:t>
            </w:r>
          </w:p>
        </w:tc>
        <w:tc>
          <w:tcPr>
            <w:tcW w:type="dxa" w:w="742"/>
            <w:shd w:val="clear" w:fill="14352A"/>
          </w:tcPr>
          <w:p>
            <w:pPr>
              <w:spacing w:before="40" w:after="40"/>
            </w:pPr>
            <w:r>
              <w:rPr>
                <w:b/>
                <w:i w:val="0"/>
                <w:color w:val="FFFFFF"/>
                <w:sz w:val="17"/>
              </w:rPr>
              <w:t>HK</w:t>
            </w:r>
          </w:p>
        </w:tc>
        <w:tc>
          <w:tcPr>
            <w:tcW w:type="dxa" w:w="742"/>
            <w:shd w:val="clear" w:fill="14352A"/>
          </w:tcPr>
          <w:p>
            <w:pPr>
              <w:spacing w:before="40" w:after="40"/>
            </w:pPr>
            <w:r>
              <w:rPr>
                <w:b/>
                <w:i w:val="0"/>
                <w:color w:val="FFFFFF"/>
                <w:sz w:val="17"/>
              </w:rPr>
              <w:t>BT</w:t>
            </w:r>
          </w:p>
        </w:tc>
        <w:tc>
          <w:tcPr>
            <w:tcW w:type="dxa" w:w="742"/>
            <w:shd w:val="clear" w:fill="14352A"/>
          </w:tcPr>
          <w:p>
            <w:pPr>
              <w:spacing w:before="40" w:after="40"/>
            </w:pPr>
            <w:r>
              <w:rPr>
                <w:b/>
                <w:i w:val="0"/>
                <w:color w:val="FFFFFF"/>
                <w:sz w:val="17"/>
              </w:rPr>
              <w:t>FO</w:t>
            </w:r>
          </w:p>
        </w:tc>
      </w:tr>
      <w:tr>
        <w:tc>
          <w:tcPr>
            <w:tcW w:type="dxa" w:w="742"/>
          </w:tcPr>
          <w:p>
            <w:pPr>
              <w:spacing w:before="40" w:after="40"/>
            </w:pPr>
            <w:r>
              <w:rPr>
                <w:b w:val="0"/>
                <w:i w:val="0"/>
                <w:sz w:val="17"/>
              </w:rPr>
              <w:t>Set and sign the pricing basis</w:t>
            </w:r>
          </w:p>
        </w:tc>
        <w:tc>
          <w:tcPr>
            <w:tcW w:type="dxa" w:w="742"/>
          </w:tcPr>
          <w:p>
            <w:pPr>
              <w:spacing w:before="40" w:after="40"/>
            </w:pPr>
            <w:r>
              <w:rPr>
                <w:b w:val="0"/>
                <w:i w:val="0"/>
                <w:sz w:val="17"/>
              </w:rPr>
              <w:t>C</w:t>
            </w:r>
          </w:p>
        </w:tc>
        <w:tc>
          <w:tcPr>
            <w:tcW w:type="dxa" w:w="742"/>
          </w:tcPr>
          <w:p>
            <w:pPr>
              <w:spacing w:before="40" w:after="40"/>
            </w:pPr>
            <w:r>
              <w:rPr>
                <w:b w:val="0"/>
                <w:i w:val="0"/>
                <w:sz w:val="17"/>
              </w:rPr>
              <w:t>A</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I</w:t>
            </w:r>
          </w:p>
        </w:tc>
        <w:tc>
          <w:tcPr>
            <w:tcW w:type="dxa" w:w="742"/>
          </w:tcPr>
          <w:p>
            <w:pPr>
              <w:spacing w:before="40" w:after="40"/>
            </w:pPr>
            <w:r>
              <w:rPr>
                <w:b w:val="0"/>
                <w:i w:val="0"/>
                <w:sz w:val="17"/>
              </w:rPr>
              <w:t>—</w:t>
            </w:r>
          </w:p>
        </w:tc>
      </w:tr>
      <w:tr>
        <w:tc>
          <w:tcPr>
            <w:tcW w:type="dxa" w:w="742"/>
          </w:tcPr>
          <w:p>
            <w:pPr>
              <w:spacing w:before="40" w:after="40"/>
            </w:pPr>
            <w:r>
              <w:rPr>
                <w:b w:val="0"/>
                <w:i w:val="0"/>
                <w:sz w:val="17"/>
              </w:rPr>
              <w:t>Produce the actuarial memorandum and rate support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R</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r>
      <w:tr>
        <w:tc>
          <w:tcPr>
            <w:tcW w:type="dxa" w:w="742"/>
          </w:tcPr>
          <w:p>
            <w:pPr>
              <w:spacing w:before="40" w:after="40"/>
            </w:pPr>
            <w:r>
              <w:rPr>
                <w:b w:val="0"/>
                <w:i w:val="0"/>
                <w:sz w:val="17"/>
              </w:rPr>
              <w:t>Draft and clear contract forms</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R</w:t>
            </w:r>
          </w:p>
        </w:tc>
        <w:tc>
          <w:tcPr>
            <w:tcW w:type="dxa" w:w="742"/>
          </w:tcPr>
          <w:p>
            <w:pPr>
              <w:spacing w:before="40" w:after="40"/>
            </w:pPr>
            <w:r>
              <w:rPr>
                <w:b w:val="0"/>
                <w:i w:val="0"/>
                <w:sz w:val="17"/>
              </w:rPr>
              <w:t>A</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r>
      <w:tr>
        <w:tc>
          <w:tcPr>
            <w:tcW w:type="dxa" w:w="742"/>
          </w:tcPr>
          <w:p>
            <w:pPr>
              <w:spacing w:before="40" w:after="40"/>
            </w:pPr>
            <w:r>
              <w:rPr>
                <w:b w:val="0"/>
                <w:i w:val="0"/>
                <w:sz w:val="17"/>
              </w:rPr>
              <w:t>Prepare and lodge regulatory filings</w:t>
            </w:r>
          </w:p>
        </w:tc>
        <w:tc>
          <w:tcPr>
            <w:tcW w:type="dxa" w:w="742"/>
          </w:tcPr>
          <w:p>
            <w:pPr>
              <w:spacing w:before="40" w:after="40"/>
            </w:pPr>
            <w:r>
              <w:rPr>
                <w:b w:val="0"/>
                <w:i w:val="0"/>
                <w:sz w:val="17"/>
              </w:rPr>
              <w:t>I</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R</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r>
      <w:tr>
        <w:tc>
          <w:tcPr>
            <w:tcW w:type="dxa" w:w="742"/>
          </w:tcPr>
          <w:p>
            <w:pPr>
              <w:spacing w:before="40" w:after="40"/>
            </w:pPr>
            <w:r>
              <w:rPr>
                <w:b w:val="0"/>
                <w:i w:val="0"/>
                <w:sz w:val="17"/>
              </w:rPr>
              <w:t>Configure the administration platform</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r>
      <w:tr>
        <w:tc>
          <w:tcPr>
            <w:tcW w:type="dxa" w:w="742"/>
          </w:tcPr>
          <w:p>
            <w:pPr>
              <w:spacing w:before="40" w:after="40"/>
            </w:pPr>
            <w:r>
              <w:rPr>
                <w:b w:val="0"/>
                <w:i w:val="0"/>
                <w:sz w:val="17"/>
              </w:rPr>
              <w:t>Build and validate the illustration engine</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A</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r>
      <w:tr>
        <w:tc>
          <w:tcPr>
            <w:tcW w:type="dxa" w:w="742"/>
          </w:tcPr>
          <w:p>
            <w:pPr>
              <w:spacing w:before="40" w:after="40"/>
            </w:pPr>
            <w:r>
              <w:rPr>
                <w:b w:val="0"/>
                <w:i w:val="0"/>
                <w:sz w:val="17"/>
              </w:rPr>
              <w:t>Design and execute the hedging program</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A</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r>
      <w:tr>
        <w:tc>
          <w:tcPr>
            <w:tcW w:type="dxa" w:w="742"/>
          </w:tcPr>
          <w:p>
            <w:pPr>
              <w:spacing w:before="40" w:after="40"/>
            </w:pPr>
            <w:r>
              <w:rPr>
                <w:b w:val="0"/>
                <w:i w:val="0"/>
                <w:sz w:val="17"/>
              </w:rPr>
              <w:t>Structure the reinsurance treaty</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r>
      <w:tr>
        <w:tc>
          <w:tcPr>
            <w:tcW w:type="dxa" w:w="742"/>
          </w:tcPr>
          <w:p>
            <w:pPr>
              <w:spacing w:before="40" w:after="40"/>
            </w:pPr>
            <w:r>
              <w:rPr>
                <w:b w:val="0"/>
                <w:i w:val="0"/>
                <w:sz w:val="17"/>
              </w:rPr>
              <w:t>Build new business and servicing processes</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R</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r>
      <w:tr>
        <w:tc>
          <w:tcPr>
            <w:tcW w:type="dxa" w:w="742"/>
          </w:tcPr>
          <w:p>
            <w:pPr>
              <w:spacing w:before="40" w:after="40"/>
            </w:pPr>
            <w:r>
              <w:rPr>
                <w:b w:val="0"/>
                <w:i w:val="0"/>
                <w:sz w:val="17"/>
              </w:rPr>
              <w:t>Secure written channel commitments</w:t>
            </w:r>
          </w:p>
        </w:tc>
        <w:tc>
          <w:tcPr>
            <w:tcW w:type="dxa" w:w="742"/>
          </w:tcPr>
          <w:p>
            <w:pPr>
              <w:spacing w:before="40" w:after="40"/>
            </w:pPr>
            <w:r>
              <w:rPr>
                <w:b w:val="0"/>
                <w:i w:val="0"/>
                <w:sz w:val="17"/>
              </w:rPr>
              <w:t>C</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r>
      <w:tr>
        <w:tc>
          <w:tcPr>
            <w:tcW w:type="dxa" w:w="742"/>
          </w:tcPr>
          <w:p>
            <w:pPr>
              <w:spacing w:before="40" w:after="40"/>
            </w:pPr>
            <w:r>
              <w:rPr>
                <w:b w:val="0"/>
                <w:i w:val="0"/>
                <w:sz w:val="17"/>
              </w:rPr>
              <w:t>Deliver advisor training and appointment</w:t>
            </w:r>
          </w:p>
        </w:tc>
        <w:tc>
          <w:tcPr>
            <w:tcW w:type="dxa" w:w="742"/>
          </w:tcPr>
          <w:p>
            <w:pPr>
              <w:spacing w:before="40" w:after="40"/>
            </w:pPr>
            <w:r>
              <w:rPr>
                <w:b w:val="0"/>
                <w:i w:val="0"/>
                <w:sz w:val="17"/>
              </w:rPr>
              <w:t>I</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w:t>
            </w:r>
          </w:p>
        </w:tc>
        <w:tc>
          <w:tcPr>
            <w:tcW w:type="dxa" w:w="742"/>
          </w:tcPr>
          <w:p>
            <w:pPr>
              <w:spacing w:before="40" w:after="40"/>
            </w:pPr>
            <w:r>
              <w:rPr>
                <w:b w:val="0"/>
                <w:i w:val="0"/>
                <w:sz w:val="17"/>
              </w:rPr>
              <w:t>R</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r>
      <w:tr>
        <w:tc>
          <w:tcPr>
            <w:tcW w:type="dxa" w:w="742"/>
          </w:tcPr>
          <w:p>
            <w:pPr>
              <w:spacing w:before="40" w:after="40"/>
            </w:pPr>
            <w:r>
              <w:rPr>
                <w:b w:val="0"/>
                <w:i w:val="0"/>
                <w:sz w:val="17"/>
              </w:rPr>
              <w:t>Maintain the program budget and tranche ledger</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A</w:t>
            </w:r>
          </w:p>
        </w:tc>
        <w:tc>
          <w:tcPr>
            <w:tcW w:type="dxa" w:w="742"/>
          </w:tcPr>
          <w:p>
            <w:pPr>
              <w:spacing w:before="40" w:after="40"/>
            </w:pPr>
            <w:r>
              <w:rPr>
                <w:b w:val="0"/>
                <w:i w:val="0"/>
                <w:sz w:val="17"/>
              </w:rPr>
              <w:t>C</w:t>
            </w:r>
          </w:p>
        </w:tc>
      </w:tr>
      <w:tr>
        <w:tc>
          <w:tcPr>
            <w:tcW w:type="dxa" w:w="742"/>
          </w:tcPr>
          <w:p>
            <w:pPr>
              <w:spacing w:before="40" w:after="40"/>
            </w:pPr>
            <w:r>
              <w:rPr>
                <w:b w:val="0"/>
                <w:i w:val="0"/>
                <w:sz w:val="17"/>
              </w:rPr>
              <w:t>Produce program reporting and the dashboard</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I</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w:t>
            </w:r>
          </w:p>
        </w:tc>
        <w:tc>
          <w:tcPr>
            <w:tcW w:type="dxa" w:w="742"/>
          </w:tcPr>
          <w:p>
            <w:pPr>
              <w:spacing w:before="40" w:after="40"/>
            </w:pPr>
            <w:r>
              <w:rPr>
                <w:b w:val="0"/>
                <w:i w:val="0"/>
                <w:sz w:val="17"/>
              </w:rPr>
              <w:t>I</w:t>
            </w:r>
          </w:p>
        </w:tc>
        <w:tc>
          <w:tcPr>
            <w:tcW w:type="dxa" w:w="742"/>
          </w:tcPr>
          <w:p>
            <w:pPr>
              <w:spacing w:before="40" w:after="40"/>
            </w:pPr>
            <w:r>
              <w:rPr>
                <w:b w:val="0"/>
                <w:i w:val="0"/>
                <w:sz w:val="17"/>
              </w:rPr>
              <w:t>—</w:t>
            </w:r>
          </w:p>
        </w:tc>
        <w:tc>
          <w:tcPr>
            <w:tcW w:type="dxa" w:w="742"/>
          </w:tcPr>
          <w:p>
            <w:pPr>
              <w:spacing w:before="40" w:after="40"/>
            </w:pPr>
            <w:r>
              <w:rPr>
                <w:b w:val="0"/>
                <w:i w:val="0"/>
                <w:sz w:val="17"/>
              </w:rPr>
              <w:t>C</w:t>
            </w:r>
          </w:p>
        </w:tc>
        <w:tc>
          <w:tcPr>
            <w:tcW w:type="dxa" w:w="742"/>
          </w:tcPr>
          <w:p>
            <w:pPr>
              <w:spacing w:before="40" w:after="40"/>
            </w:pPr>
            <w:r>
              <w:rPr>
                <w:b w:val="0"/>
                <w:i w:val="0"/>
                <w:sz w:val="17"/>
              </w:rPr>
              <w:t>A</w:t>
            </w:r>
          </w:p>
        </w:tc>
      </w:tr>
    </w:tbl>
    <w:p/>
    <w:p>
      <w:pPr>
        <w:spacing w:before="200" w:after="80"/>
      </w:pPr>
      <w:r>
        <w:rPr>
          <w:b/>
          <w:i w:val="0"/>
          <w:color w:val="1B2130"/>
          <w:sz w:val="21"/>
        </w:rPr>
        <w:t>Who these people are</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Code</w:t>
            </w:r>
          </w:p>
        </w:tc>
        <w:tc>
          <w:tcPr>
            <w:tcW w:type="dxa" w:w="2412"/>
            <w:shd w:val="clear" w:fill="14352A"/>
          </w:tcPr>
          <w:p>
            <w:pPr>
              <w:spacing w:before="40" w:after="40"/>
            </w:pPr>
            <w:r>
              <w:rPr>
                <w:b/>
                <w:i w:val="0"/>
                <w:color w:val="FFFFFF"/>
                <w:sz w:val="17"/>
              </w:rPr>
              <w:t>Name</w:t>
            </w:r>
          </w:p>
        </w:tc>
        <w:tc>
          <w:tcPr>
            <w:tcW w:type="dxa" w:w="2412"/>
            <w:shd w:val="clear" w:fill="14352A"/>
          </w:tcPr>
          <w:p>
            <w:pPr>
              <w:spacing w:before="40" w:after="40"/>
            </w:pPr>
            <w:r>
              <w:rPr>
                <w:b/>
                <w:i w:val="0"/>
                <w:color w:val="FFFFFF"/>
                <w:sz w:val="17"/>
              </w:rPr>
              <w:t>Role</w:t>
            </w:r>
          </w:p>
        </w:tc>
        <w:tc>
          <w:tcPr>
            <w:tcW w:type="dxa" w:w="2412"/>
            <w:shd w:val="clear" w:fill="14352A"/>
          </w:tcPr>
          <w:p>
            <w:pPr>
              <w:spacing w:before="40" w:after="40"/>
            </w:pPr>
            <w:r>
              <w:rPr>
                <w:b/>
                <w:i w:val="0"/>
                <w:color w:val="FFFFFF"/>
                <w:sz w:val="17"/>
              </w:rPr>
              <w:t>Team</w:t>
            </w:r>
          </w:p>
        </w:tc>
      </w:tr>
      <w:tr>
        <w:tc>
          <w:tcPr>
            <w:tcW w:type="dxa" w:w="2412"/>
          </w:tcPr>
          <w:p>
            <w:pPr>
              <w:spacing w:before="40" w:after="40"/>
            </w:pPr>
            <w:r>
              <w:rPr>
                <w:b/>
                <w:i w:val="0"/>
                <w:sz w:val="17"/>
              </w:rPr>
              <w:t>DF</w:t>
            </w:r>
          </w:p>
        </w:tc>
        <w:tc>
          <w:tcPr>
            <w:tcW w:type="dxa" w:w="2412"/>
          </w:tcPr>
          <w:p>
            <w:pPr>
              <w:spacing w:before="40" w:after="40"/>
            </w:pPr>
            <w:r>
              <w:rPr>
                <w:b w:val="0"/>
                <w:i w:val="0"/>
                <w:sz w:val="17"/>
              </w:rPr>
              <w:t>D. Falkner</w:t>
            </w:r>
          </w:p>
        </w:tc>
        <w:tc>
          <w:tcPr>
            <w:tcW w:type="dxa" w:w="2412"/>
          </w:tcPr>
          <w:p>
            <w:pPr>
              <w:spacing w:before="40" w:after="40"/>
            </w:pPr>
            <w:r>
              <w:rPr>
                <w:b w:val="0"/>
                <w:i w:val="0"/>
                <w:sz w:val="17"/>
              </w:rPr>
              <w:t>VP Product Development</w:t>
            </w:r>
          </w:p>
        </w:tc>
        <w:tc>
          <w:tcPr>
            <w:tcW w:type="dxa" w:w="2412"/>
          </w:tcPr>
          <w:p>
            <w:pPr>
              <w:spacing w:before="40" w:after="40"/>
            </w:pPr>
            <w:r>
              <w:rPr>
                <w:b w:val="0"/>
                <w:i w:val="0"/>
                <w:sz w:val="17"/>
              </w:rPr>
              <w:t>Product Management &amp; Design</w:t>
            </w:r>
          </w:p>
        </w:tc>
      </w:tr>
      <w:tr>
        <w:tc>
          <w:tcPr>
            <w:tcW w:type="dxa" w:w="2412"/>
          </w:tcPr>
          <w:p>
            <w:pPr>
              <w:spacing w:before="40" w:after="40"/>
            </w:pPr>
            <w:r>
              <w:rPr>
                <w:b/>
                <w:i w:val="0"/>
                <w:sz w:val="17"/>
              </w:rPr>
              <w:t>SR</w:t>
            </w:r>
          </w:p>
        </w:tc>
        <w:tc>
          <w:tcPr>
            <w:tcW w:type="dxa" w:w="2412"/>
          </w:tcPr>
          <w:p>
            <w:pPr>
              <w:spacing w:before="40" w:after="40"/>
            </w:pPr>
            <w:r>
              <w:rPr>
                <w:b w:val="0"/>
                <w:i w:val="0"/>
                <w:sz w:val="17"/>
              </w:rPr>
              <w:t>S. Ravichandran</w:t>
            </w:r>
          </w:p>
        </w:tc>
        <w:tc>
          <w:tcPr>
            <w:tcW w:type="dxa" w:w="2412"/>
          </w:tcPr>
          <w:p>
            <w:pPr>
              <w:spacing w:before="40" w:after="40"/>
            </w:pPr>
            <w:r>
              <w:rPr>
                <w:b w:val="0"/>
                <w:i w:val="0"/>
                <w:sz w:val="17"/>
              </w:rPr>
              <w:t>Lead Pricing Actuary, FSA</w:t>
            </w:r>
          </w:p>
        </w:tc>
        <w:tc>
          <w:tcPr>
            <w:tcW w:type="dxa" w:w="2412"/>
          </w:tcPr>
          <w:p>
            <w:pPr>
              <w:spacing w:before="40" w:after="40"/>
            </w:pPr>
            <w:r>
              <w:rPr>
                <w:b w:val="0"/>
                <w:i w:val="0"/>
                <w:sz w:val="17"/>
              </w:rPr>
              <w:t>Actuarial - Pricing &amp; Product Development</w:t>
            </w:r>
          </w:p>
        </w:tc>
      </w:tr>
      <w:tr>
        <w:tc>
          <w:tcPr>
            <w:tcW w:type="dxa" w:w="2412"/>
          </w:tcPr>
          <w:p>
            <w:pPr>
              <w:spacing w:before="40" w:after="40"/>
            </w:pPr>
            <w:r>
              <w:rPr>
                <w:b/>
                <w:i w:val="0"/>
                <w:sz w:val="17"/>
              </w:rPr>
              <w:t>TB</w:t>
            </w:r>
          </w:p>
        </w:tc>
        <w:tc>
          <w:tcPr>
            <w:tcW w:type="dxa" w:w="2412"/>
          </w:tcPr>
          <w:p>
            <w:pPr>
              <w:spacing w:before="40" w:after="40"/>
            </w:pPr>
            <w:r>
              <w:rPr>
                <w:b w:val="0"/>
                <w:i w:val="0"/>
                <w:sz w:val="17"/>
              </w:rPr>
              <w:t>T. Brennan</w:t>
            </w:r>
          </w:p>
        </w:tc>
        <w:tc>
          <w:tcPr>
            <w:tcW w:type="dxa" w:w="2412"/>
          </w:tcPr>
          <w:p>
            <w:pPr>
              <w:spacing w:before="40" w:after="40"/>
            </w:pPr>
            <w:r>
              <w:rPr>
                <w:b w:val="0"/>
                <w:i w:val="0"/>
                <w:sz w:val="17"/>
              </w:rPr>
              <w:t>Valuation Actuary, FSA</w:t>
            </w:r>
          </w:p>
        </w:tc>
        <w:tc>
          <w:tcPr>
            <w:tcW w:type="dxa" w:w="2412"/>
          </w:tcPr>
          <w:p>
            <w:pPr>
              <w:spacing w:before="40" w:after="40"/>
            </w:pPr>
            <w:r>
              <w:rPr>
                <w:b w:val="0"/>
                <w:i w:val="0"/>
                <w:sz w:val="17"/>
              </w:rPr>
              <w:t>Actuarial - Valuation &amp; Financial Reporting</w:t>
            </w:r>
          </w:p>
        </w:tc>
      </w:tr>
      <w:tr>
        <w:tc>
          <w:tcPr>
            <w:tcW w:type="dxa" w:w="2412"/>
          </w:tcPr>
          <w:p>
            <w:pPr>
              <w:spacing w:before="40" w:after="40"/>
            </w:pPr>
            <w:r>
              <w:rPr>
                <w:b/>
                <w:i w:val="0"/>
                <w:sz w:val="17"/>
              </w:rPr>
              <w:t>MD</w:t>
            </w:r>
          </w:p>
        </w:tc>
        <w:tc>
          <w:tcPr>
            <w:tcW w:type="dxa" w:w="2412"/>
          </w:tcPr>
          <w:p>
            <w:pPr>
              <w:spacing w:before="40" w:after="40"/>
            </w:pPr>
            <w:r>
              <w:rPr>
                <w:b w:val="0"/>
                <w:i w:val="0"/>
                <w:sz w:val="17"/>
              </w:rPr>
              <w:t>M. Delacroix</w:t>
            </w:r>
          </w:p>
        </w:tc>
        <w:tc>
          <w:tcPr>
            <w:tcW w:type="dxa" w:w="2412"/>
          </w:tcPr>
          <w:p>
            <w:pPr>
              <w:spacing w:before="40" w:after="40"/>
            </w:pPr>
            <w:r>
              <w:rPr>
                <w:b w:val="0"/>
                <w:i w:val="0"/>
                <w:sz w:val="17"/>
              </w:rPr>
              <w:t>Director, ALM &amp; Hedging</w:t>
            </w:r>
          </w:p>
        </w:tc>
        <w:tc>
          <w:tcPr>
            <w:tcW w:type="dxa" w:w="2412"/>
          </w:tcPr>
          <w:p>
            <w:pPr>
              <w:spacing w:before="40" w:after="40"/>
            </w:pPr>
            <w:r>
              <w:rPr>
                <w:b w:val="0"/>
                <w:i w:val="0"/>
                <w:sz w:val="17"/>
              </w:rPr>
              <w:t>Investments - ALM &amp; Hedging</w:t>
            </w:r>
          </w:p>
        </w:tc>
      </w:tr>
      <w:tr>
        <w:tc>
          <w:tcPr>
            <w:tcW w:type="dxa" w:w="2412"/>
          </w:tcPr>
          <w:p>
            <w:pPr>
              <w:spacing w:before="40" w:after="40"/>
            </w:pPr>
            <w:r>
              <w:rPr>
                <w:b/>
                <w:i w:val="0"/>
                <w:sz w:val="17"/>
              </w:rPr>
              <w:t>VS</w:t>
            </w:r>
          </w:p>
        </w:tc>
        <w:tc>
          <w:tcPr>
            <w:tcW w:type="dxa" w:w="2412"/>
          </w:tcPr>
          <w:p>
            <w:pPr>
              <w:spacing w:before="40" w:after="40"/>
            </w:pPr>
            <w:r>
              <w:rPr>
                <w:b w:val="0"/>
                <w:i w:val="0"/>
                <w:sz w:val="17"/>
              </w:rPr>
              <w:t>V. Sandoval</w:t>
            </w:r>
          </w:p>
        </w:tc>
        <w:tc>
          <w:tcPr>
            <w:tcW w:type="dxa" w:w="2412"/>
          </w:tcPr>
          <w:p>
            <w:pPr>
              <w:spacing w:before="40" w:after="40"/>
            </w:pPr>
            <w:r>
              <w:rPr>
                <w:b w:val="0"/>
                <w:i w:val="0"/>
                <w:sz w:val="17"/>
              </w:rPr>
              <w:t>Platform Delivery Lead</w:t>
            </w:r>
          </w:p>
        </w:tc>
        <w:tc>
          <w:tcPr>
            <w:tcW w:type="dxa" w:w="2412"/>
          </w:tcPr>
          <w:p>
            <w:pPr>
              <w:spacing w:before="40" w:after="40"/>
            </w:pPr>
            <w:r>
              <w:rPr>
                <w:b w:val="0"/>
                <w:i w:val="0"/>
                <w:sz w:val="17"/>
              </w:rPr>
              <w:t>IT - Annuity Administration Platform</w:t>
            </w:r>
          </w:p>
        </w:tc>
      </w:tr>
      <w:tr>
        <w:tc>
          <w:tcPr>
            <w:tcW w:type="dxa" w:w="2412"/>
          </w:tcPr>
          <w:p>
            <w:pPr>
              <w:spacing w:before="40" w:after="40"/>
            </w:pPr>
            <w:r>
              <w:rPr>
                <w:b/>
                <w:i w:val="0"/>
                <w:sz w:val="17"/>
              </w:rPr>
              <w:t>EK</w:t>
            </w:r>
          </w:p>
        </w:tc>
        <w:tc>
          <w:tcPr>
            <w:tcW w:type="dxa" w:w="2412"/>
          </w:tcPr>
          <w:p>
            <w:pPr>
              <w:spacing w:before="40" w:after="40"/>
            </w:pPr>
            <w:r>
              <w:rPr>
                <w:b w:val="0"/>
                <w:i w:val="0"/>
                <w:sz w:val="17"/>
              </w:rPr>
              <w:t>E. Kowalczyk</w:t>
            </w:r>
          </w:p>
        </w:tc>
        <w:tc>
          <w:tcPr>
            <w:tcW w:type="dxa" w:w="2412"/>
          </w:tcPr>
          <w:p>
            <w:pPr>
              <w:spacing w:before="40" w:after="40"/>
            </w:pPr>
            <w:r>
              <w:rPr>
                <w:b w:val="0"/>
                <w:i w:val="0"/>
                <w:sz w:val="17"/>
              </w:rPr>
              <w:t>Illustration Systems Lead</w:t>
            </w:r>
          </w:p>
        </w:tc>
        <w:tc>
          <w:tcPr>
            <w:tcW w:type="dxa" w:w="2412"/>
          </w:tcPr>
          <w:p>
            <w:pPr>
              <w:spacing w:before="40" w:after="40"/>
            </w:pPr>
            <w:r>
              <w:rPr>
                <w:b w:val="0"/>
                <w:i w:val="0"/>
                <w:sz w:val="17"/>
              </w:rPr>
              <w:t>IT - Illustration &amp; Quoting</w:t>
            </w:r>
          </w:p>
        </w:tc>
      </w:tr>
      <w:tr>
        <w:tc>
          <w:tcPr>
            <w:tcW w:type="dxa" w:w="2412"/>
          </w:tcPr>
          <w:p>
            <w:pPr>
              <w:spacing w:before="40" w:after="40"/>
            </w:pPr>
            <w:r>
              <w:rPr>
                <w:b/>
                <w:i w:val="0"/>
                <w:sz w:val="17"/>
              </w:rPr>
              <w:t>PH</w:t>
            </w:r>
          </w:p>
        </w:tc>
        <w:tc>
          <w:tcPr>
            <w:tcW w:type="dxa" w:w="2412"/>
          </w:tcPr>
          <w:p>
            <w:pPr>
              <w:spacing w:before="40" w:after="40"/>
            </w:pPr>
            <w:r>
              <w:rPr>
                <w:b w:val="0"/>
                <w:i w:val="0"/>
                <w:sz w:val="17"/>
              </w:rPr>
              <w:t>P. Hollingsworth</w:t>
            </w:r>
          </w:p>
        </w:tc>
        <w:tc>
          <w:tcPr>
            <w:tcW w:type="dxa" w:w="2412"/>
          </w:tcPr>
          <w:p>
            <w:pPr>
              <w:spacing w:before="40" w:after="40"/>
            </w:pPr>
            <w:r>
              <w:rPr>
                <w:b w:val="0"/>
                <w:i w:val="0"/>
                <w:sz w:val="17"/>
              </w:rPr>
              <w:t>Manager, Product Filing</w:t>
            </w:r>
          </w:p>
        </w:tc>
        <w:tc>
          <w:tcPr>
            <w:tcW w:type="dxa" w:w="2412"/>
          </w:tcPr>
          <w:p>
            <w:pPr>
              <w:spacing w:before="40" w:after="40"/>
            </w:pPr>
            <w:r>
              <w:rPr>
                <w:b w:val="0"/>
                <w:i w:val="0"/>
                <w:sz w:val="17"/>
              </w:rPr>
              <w:t>Regulatory Filing &amp; Contract Forms</w:t>
            </w:r>
          </w:p>
        </w:tc>
      </w:tr>
      <w:tr>
        <w:tc>
          <w:tcPr>
            <w:tcW w:type="dxa" w:w="2412"/>
          </w:tcPr>
          <w:p>
            <w:pPr>
              <w:spacing w:before="40" w:after="40"/>
            </w:pPr>
            <w:r>
              <w:rPr>
                <w:b/>
                <w:i w:val="0"/>
                <w:sz w:val="17"/>
              </w:rPr>
              <w:t>AN</w:t>
            </w:r>
          </w:p>
        </w:tc>
        <w:tc>
          <w:tcPr>
            <w:tcW w:type="dxa" w:w="2412"/>
          </w:tcPr>
          <w:p>
            <w:pPr>
              <w:spacing w:before="40" w:after="40"/>
            </w:pPr>
            <w:r>
              <w:rPr>
                <w:b w:val="0"/>
                <w:i w:val="0"/>
                <w:sz w:val="17"/>
              </w:rPr>
              <w:t>A. Nkemelu</w:t>
            </w:r>
          </w:p>
        </w:tc>
        <w:tc>
          <w:tcPr>
            <w:tcW w:type="dxa" w:w="2412"/>
          </w:tcPr>
          <w:p>
            <w:pPr>
              <w:spacing w:before="40" w:after="40"/>
            </w:pPr>
            <w:r>
              <w:rPr>
                <w:b w:val="0"/>
                <w:i w:val="0"/>
                <w:sz w:val="17"/>
              </w:rPr>
              <w:t>Senior Counsel - Product</w:t>
            </w:r>
          </w:p>
        </w:tc>
        <w:tc>
          <w:tcPr>
            <w:tcW w:type="dxa" w:w="2412"/>
          </w:tcPr>
          <w:p>
            <w:pPr>
              <w:spacing w:before="40" w:after="40"/>
            </w:pPr>
            <w:r>
              <w:rPr>
                <w:b w:val="0"/>
                <w:i w:val="0"/>
                <w:sz w:val="17"/>
              </w:rPr>
              <w:t>Legal &amp; Compliance</w:t>
            </w:r>
          </w:p>
        </w:tc>
      </w:tr>
      <w:tr>
        <w:tc>
          <w:tcPr>
            <w:tcW w:type="dxa" w:w="2412"/>
          </w:tcPr>
          <w:p>
            <w:pPr>
              <w:spacing w:before="40" w:after="40"/>
            </w:pPr>
            <w:r>
              <w:rPr>
                <w:b/>
                <w:i w:val="0"/>
                <w:sz w:val="17"/>
              </w:rPr>
              <w:t>LM</w:t>
            </w:r>
          </w:p>
        </w:tc>
        <w:tc>
          <w:tcPr>
            <w:tcW w:type="dxa" w:w="2412"/>
          </w:tcPr>
          <w:p>
            <w:pPr>
              <w:spacing w:before="40" w:after="40"/>
            </w:pPr>
            <w:r>
              <w:rPr>
                <w:b w:val="0"/>
                <w:i w:val="0"/>
                <w:sz w:val="17"/>
              </w:rPr>
              <w:t>L. Marchand</w:t>
            </w:r>
          </w:p>
        </w:tc>
        <w:tc>
          <w:tcPr>
            <w:tcW w:type="dxa" w:w="2412"/>
          </w:tcPr>
          <w:p>
            <w:pPr>
              <w:spacing w:before="40" w:after="40"/>
            </w:pPr>
            <w:r>
              <w:rPr>
                <w:b w:val="0"/>
                <w:i w:val="0"/>
                <w:sz w:val="17"/>
              </w:rPr>
              <w:t>Director, Annuity Operations</w:t>
            </w:r>
          </w:p>
        </w:tc>
        <w:tc>
          <w:tcPr>
            <w:tcW w:type="dxa" w:w="2412"/>
          </w:tcPr>
          <w:p>
            <w:pPr>
              <w:spacing w:before="40" w:after="40"/>
            </w:pPr>
            <w:r>
              <w:rPr>
                <w:b w:val="0"/>
                <w:i w:val="0"/>
                <w:sz w:val="17"/>
              </w:rPr>
              <w:t>Operations - New Business &amp; Policyholder Services</w:t>
            </w:r>
          </w:p>
        </w:tc>
      </w:tr>
      <w:tr>
        <w:tc>
          <w:tcPr>
            <w:tcW w:type="dxa" w:w="2412"/>
          </w:tcPr>
          <w:p>
            <w:pPr>
              <w:spacing w:before="40" w:after="40"/>
            </w:pPr>
            <w:r>
              <w:rPr>
                <w:b/>
                <w:i w:val="0"/>
                <w:sz w:val="17"/>
              </w:rPr>
              <w:t>HK</w:t>
            </w:r>
          </w:p>
        </w:tc>
        <w:tc>
          <w:tcPr>
            <w:tcW w:type="dxa" w:w="2412"/>
          </w:tcPr>
          <w:p>
            <w:pPr>
              <w:spacing w:before="40" w:after="40"/>
            </w:pPr>
            <w:r>
              <w:rPr>
                <w:b w:val="0"/>
                <w:i w:val="0"/>
                <w:sz w:val="17"/>
              </w:rPr>
              <w:t>H. Kirkpatrick</w:t>
            </w:r>
          </w:p>
        </w:tc>
        <w:tc>
          <w:tcPr>
            <w:tcW w:type="dxa" w:w="2412"/>
          </w:tcPr>
          <w:p>
            <w:pPr>
              <w:spacing w:before="40" w:after="40"/>
            </w:pPr>
            <w:r>
              <w:rPr>
                <w:b w:val="0"/>
                <w:i w:val="0"/>
                <w:sz w:val="17"/>
              </w:rPr>
              <w:t>National Sales Manager</w:t>
            </w:r>
          </w:p>
        </w:tc>
        <w:tc>
          <w:tcPr>
            <w:tcW w:type="dxa" w:w="2412"/>
          </w:tcPr>
          <w:p>
            <w:pPr>
              <w:spacing w:before="40" w:after="40"/>
            </w:pPr>
            <w:r>
              <w:rPr>
                <w:b w:val="0"/>
                <w:i w:val="0"/>
                <w:sz w:val="17"/>
              </w:rPr>
              <w:t>Distribution &amp; Wholesaling</w:t>
            </w:r>
          </w:p>
        </w:tc>
      </w:tr>
      <w:tr>
        <w:tc>
          <w:tcPr>
            <w:tcW w:type="dxa" w:w="2412"/>
          </w:tcPr>
          <w:p>
            <w:pPr>
              <w:spacing w:before="40" w:after="40"/>
            </w:pPr>
            <w:r>
              <w:rPr>
                <w:b/>
                <w:i w:val="0"/>
                <w:sz w:val="17"/>
              </w:rPr>
              <w:t>BT</w:t>
            </w:r>
          </w:p>
        </w:tc>
        <w:tc>
          <w:tcPr>
            <w:tcW w:type="dxa" w:w="2412"/>
          </w:tcPr>
          <w:p>
            <w:pPr>
              <w:spacing w:before="40" w:after="40"/>
            </w:pPr>
            <w:r>
              <w:rPr>
                <w:b w:val="0"/>
                <w:i w:val="0"/>
                <w:sz w:val="17"/>
              </w:rPr>
              <w:t>B. Trombley</w:t>
            </w:r>
          </w:p>
        </w:tc>
        <w:tc>
          <w:tcPr>
            <w:tcW w:type="dxa" w:w="2412"/>
          </w:tcPr>
          <w:p>
            <w:pPr>
              <w:spacing w:before="40" w:after="40"/>
            </w:pPr>
            <w:r>
              <w:rPr>
                <w:b w:val="0"/>
                <w:i w:val="0"/>
                <w:sz w:val="17"/>
              </w:rPr>
              <w:t>Program Finance Manager</w:t>
            </w:r>
          </w:p>
        </w:tc>
        <w:tc>
          <w:tcPr>
            <w:tcW w:type="dxa" w:w="2412"/>
          </w:tcPr>
          <w:p>
            <w:pPr>
              <w:spacing w:before="40" w:after="40"/>
            </w:pPr>
            <w:r>
              <w:rPr>
                <w:b w:val="0"/>
                <w:i w:val="0"/>
                <w:sz w:val="17"/>
              </w:rPr>
              <w:t>Finance &amp; Treasury</w:t>
            </w:r>
          </w:p>
        </w:tc>
      </w:tr>
      <w:tr>
        <w:tc>
          <w:tcPr>
            <w:tcW w:type="dxa" w:w="2412"/>
          </w:tcPr>
          <w:p>
            <w:pPr>
              <w:spacing w:before="40" w:after="40"/>
            </w:pPr>
            <w:r>
              <w:rPr>
                <w:b/>
                <w:i w:val="0"/>
                <w:sz w:val="17"/>
              </w:rPr>
              <w:t>FO</w:t>
            </w:r>
          </w:p>
        </w:tc>
        <w:tc>
          <w:tcPr>
            <w:tcW w:type="dxa" w:w="2412"/>
          </w:tcPr>
          <w:p>
            <w:pPr>
              <w:spacing w:before="40" w:after="40"/>
            </w:pPr>
            <w:r>
              <w:rPr>
                <w:b w:val="0"/>
                <w:i w:val="0"/>
                <w:sz w:val="17"/>
              </w:rPr>
              <w:t>F. Osunde</w:t>
            </w:r>
          </w:p>
        </w:tc>
        <w:tc>
          <w:tcPr>
            <w:tcW w:type="dxa" w:w="2412"/>
          </w:tcPr>
          <w:p>
            <w:pPr>
              <w:spacing w:before="40" w:after="40"/>
            </w:pPr>
            <w:r>
              <w:rPr>
                <w:b w:val="0"/>
                <w:i w:val="0"/>
                <w:sz w:val="17"/>
              </w:rPr>
              <w:t>Data Lead</w:t>
            </w:r>
          </w:p>
        </w:tc>
        <w:tc>
          <w:tcPr>
            <w:tcW w:type="dxa" w:w="2412"/>
          </w:tcPr>
          <w:p>
            <w:pPr>
              <w:spacing w:before="40" w:after="40"/>
            </w:pPr>
            <w:r>
              <w:rPr>
                <w:b w:val="0"/>
                <w:i w:val="0"/>
                <w:sz w:val="17"/>
              </w:rPr>
              <w:t>Data, Reporting &amp; Analytics</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No cell in this matrix contains a V, and the generator refuses to write one that does.</w:t>
            </w:r>
            <w:r>
              <w:rPr>
                <w:b w:val="0"/>
                <w:i w:val="0"/>
                <w:sz w:val="20"/>
              </w:rPr>
              <w:t xml:space="preserve"> Delivery owners are Accountable for work and have no vote on whether the program continues. That asymmetry is not an oversight in the notation — it </w:t>
            </w:r>
            <w:r>
              <w:rPr>
                <w:b w:val="0"/>
                <w:i/>
                <w:sz w:val="20"/>
              </w:rPr>
              <w:t>is</w:t>
            </w:r>
            <w:r>
              <w:rPr>
                <w:b w:val="0"/>
                <w:i w:val="0"/>
                <w:sz w:val="20"/>
              </w:rPr>
              <w:t xml:space="preserve"> the governance model: the people who know most about whether the product works are deliberately not the people who decide whether to fund the next stage. </w:t>
            </w:r>
          </w:p>
        </w:tc>
      </w:tr>
    </w:tbl>
    <w:p/>
    <w:p>
      <w:pPr>
        <w:spacing w:before="280" w:after="80"/>
      </w:pPr>
      <w:r>
        <w:rPr>
          <w:b/>
          <w:i w:val="0"/>
          <w:color w:val="14352A"/>
          <w:sz w:val="28"/>
        </w:rPr>
        <w:t>5. Where Accountability Splits</w:t>
      </w:r>
    </w:p>
    <w:p>
      <w:pPr>
        <w:spacing w:after="120"/>
      </w:pPr>
      <w:r>
        <w:rPr>
          <w:b w:val="0"/>
          <w:i w:val="0"/>
          <w:sz w:val="20"/>
        </w:rPr>
        <w:t xml:space="preserve">Three rows carry a </w:t>
      </w:r>
      <w:r>
        <w:rPr>
          <w:b/>
          <w:i w:val="0"/>
          <w:sz w:val="20"/>
        </w:rPr>
        <w:t>V</w:t>
      </w:r>
      <w:r>
        <w:rPr>
          <w:b w:val="0"/>
          <w:i w:val="0"/>
          <w:sz w:val="20"/>
        </w:rPr>
        <w:t xml:space="preserve"> across five columns and an </w:t>
      </w:r>
      <w:r>
        <w:rPr>
          <w:b/>
          <w:i w:val="0"/>
          <w:sz w:val="20"/>
        </w:rPr>
        <w:t>F</w:t>
      </w:r>
      <w:r>
        <w:rPr>
          <w:b w:val="0"/>
          <w:i w:val="0"/>
          <w:sz w:val="20"/>
        </w:rPr>
        <w:t xml:space="preserve"> in the Chair's: scoring the criteria, deciding the outcome, and issuing conditions. Those are the rows where accountability splits, and the split is deliberate.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Accountable for</w:t>
            </w:r>
          </w:p>
        </w:tc>
        <w:tc>
          <w:tcPr>
            <w:tcW w:type="dxa" w:w="3216"/>
            <w:shd w:val="clear" w:fill="14352A"/>
          </w:tcPr>
          <w:p>
            <w:pPr>
              <w:spacing w:before="40" w:after="40"/>
            </w:pPr>
            <w:r>
              <w:rPr>
                <w:b/>
                <w:i w:val="0"/>
                <w:color w:val="FFFFFF"/>
                <w:sz w:val="17"/>
              </w:rPr>
              <w:t>Who</w:t>
            </w:r>
          </w:p>
        </w:tc>
        <w:tc>
          <w:tcPr>
            <w:tcW w:type="dxa" w:w="3216"/>
            <w:shd w:val="clear" w:fill="14352A"/>
          </w:tcPr>
          <w:p>
            <w:pPr>
              <w:spacing w:before="40" w:after="40"/>
            </w:pPr>
            <w:r>
              <w:rPr>
                <w:b/>
                <w:i w:val="0"/>
                <w:color w:val="FFFFFF"/>
                <w:sz w:val="17"/>
              </w:rPr>
              <w:t>Meaning</w:t>
            </w:r>
          </w:p>
        </w:tc>
      </w:tr>
      <w:tr>
        <w:tc>
          <w:tcPr>
            <w:tcW w:type="dxa" w:w="3216"/>
          </w:tcPr>
          <w:p>
            <w:pPr>
              <w:spacing w:before="40" w:after="40"/>
            </w:pPr>
            <w:r>
              <w:rPr>
                <w:b w:val="0"/>
                <w:i w:val="0"/>
                <w:sz w:val="17"/>
              </w:rPr>
              <w:t>The evidence being sound</w:t>
            </w:r>
          </w:p>
        </w:tc>
        <w:tc>
          <w:tcPr>
            <w:tcW w:type="dxa" w:w="3216"/>
          </w:tcPr>
          <w:p>
            <w:pPr>
              <w:spacing w:before="40" w:after="40"/>
            </w:pPr>
            <w:r>
              <w:rPr>
                <w:b w:val="0"/>
                <w:i w:val="0"/>
                <w:sz w:val="17"/>
              </w:rPr>
              <w:t>Chair</w:t>
            </w:r>
          </w:p>
        </w:tc>
        <w:tc>
          <w:tcPr>
            <w:tcW w:type="dxa" w:w="3216"/>
          </w:tcPr>
          <w:p>
            <w:pPr>
              <w:spacing w:before="40" w:after="40"/>
            </w:pPr>
            <w:r>
              <w:rPr>
                <w:b w:val="0"/>
                <w:i w:val="0"/>
                <w:sz w:val="17"/>
              </w:rPr>
              <w:t>That what was tabled meets the standard recorded at issue — not that it supports any particular conclusion.</w:t>
            </w:r>
          </w:p>
        </w:tc>
      </w:tr>
      <w:tr>
        <w:tc>
          <w:tcPr>
            <w:tcW w:type="dxa" w:w="3216"/>
          </w:tcPr>
          <w:p>
            <w:pPr>
              <w:spacing w:before="40" w:after="40"/>
            </w:pPr>
            <w:r>
              <w:rPr>
                <w:b w:val="0"/>
                <w:i w:val="0"/>
                <w:sz w:val="17"/>
              </w:rPr>
              <w:t>The decision being right</w:t>
            </w:r>
          </w:p>
        </w:tc>
        <w:tc>
          <w:tcPr>
            <w:tcW w:type="dxa" w:w="3216"/>
          </w:tcPr>
          <w:p>
            <w:pPr>
              <w:spacing w:before="40" w:after="40"/>
            </w:pPr>
            <w:r>
              <w:rPr>
                <w:b w:val="0"/>
                <w:i w:val="0"/>
                <w:sz w:val="17"/>
              </w:rPr>
              <w:t>The five voting seats</w:t>
            </w:r>
          </w:p>
        </w:tc>
        <w:tc>
          <w:tcPr>
            <w:tcW w:type="dxa" w:w="3216"/>
          </w:tcPr>
          <w:p>
            <w:pPr>
              <w:spacing w:before="40" w:after="40"/>
            </w:pPr>
            <w:r>
              <w:rPr>
                <w:b w:val="0"/>
                <w:i w:val="0"/>
                <w:sz w:val="17"/>
              </w:rPr>
              <w:t>That the conclusion drawn from that evidence is the correct one for the carrier.</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matrix that allows one A per row cannot express this, and a program that pretends otherwise has given one person both jobs.</w:t>
            </w:r>
            <w:r>
              <w:rPr>
                <w:b w:val="0"/>
                <w:i w:val="0"/>
                <w:sz w:val="20"/>
              </w:rPr>
              <w:t xml:space="preserve"> The person accountable for a program's progress should not also be the person who decides whether it continues — if they are, every gate becomes a self-assessment with extra steps. </w:t>
            </w:r>
          </w:p>
        </w:tc>
      </w:tr>
    </w:tbl>
    <w:p/>
    <w:p>
      <w:pPr>
        <w:spacing w:before="280" w:after="80"/>
      </w:pPr>
      <w:r>
        <w:rPr>
          <w:b/>
          <w:i w:val="0"/>
          <w:color w:val="14352A"/>
          <w:sz w:val="28"/>
        </w:rPr>
        <w:t>6. The Observer Problem</w:t>
      </w:r>
    </w:p>
    <w:p>
      <w:pPr>
        <w:spacing w:after="120"/>
      </w:pPr>
      <w:r>
        <w:rPr>
          <w:b w:val="0"/>
          <w:i w:val="0"/>
          <w:sz w:val="20"/>
        </w:rPr>
        <w:t xml:space="preserve">The Chief Risk Officer attends every gate, sees every package, and does not vote. Standard RACI offers only </w:t>
      </w:r>
      <w:r>
        <w:rPr>
          <w:b/>
          <w:i w:val="0"/>
          <w:sz w:val="20"/>
        </w:rPr>
        <w:t>C</w:t>
      </w:r>
      <w:r>
        <w:rPr>
          <w:b w:val="0"/>
          <w:i w:val="0"/>
          <w:sz w:val="20"/>
        </w:rPr>
        <w:t xml:space="preserve"> or </w:t>
      </w:r>
      <w:r>
        <w:rPr>
          <w:b/>
          <w:i w:val="0"/>
          <w:sz w:val="20"/>
        </w:rPr>
        <w:t>I</w:t>
      </w:r>
      <w:r>
        <w:rPr>
          <w:b w:val="0"/>
          <w:i w:val="0"/>
          <w:sz w:val="20"/>
        </w:rPr>
        <w:t xml:space="preserve">, and neither fits well: </w:t>
      </w:r>
      <w:r>
        <w:rPr>
          <w:b/>
          <w:i w:val="0"/>
          <w:sz w:val="20"/>
        </w:rPr>
        <w:t>I</w:t>
      </w:r>
      <w:r>
        <w:rPr>
          <w:b w:val="0"/>
          <w:i w:val="0"/>
          <w:sz w:val="20"/>
        </w:rPr>
        <w:t xml:space="preserve"> understates a role with a standing seat and full visibility, while </w:t>
      </w:r>
      <w:r>
        <w:rPr>
          <w:b/>
          <w:i w:val="0"/>
          <w:sz w:val="20"/>
        </w:rPr>
        <w:t>C</w:t>
      </w:r>
      <w:r>
        <w:rPr>
          <w:b w:val="0"/>
          <w:i w:val="0"/>
          <w:sz w:val="20"/>
        </w:rPr>
        <w:t xml:space="preserve"> overstates it by implying the program must solicit and address input before proceeding.</w:t>
      </w:r>
    </w:p>
    <w:p>
      <w:pPr>
        <w:spacing w:after="120"/>
      </w:pPr>
      <w:r>
        <w:rPr>
          <w:b/>
          <w:i w:val="0"/>
          <w:sz w:val="20"/>
        </w:rPr>
        <w:t>C</w:t>
      </w:r>
      <w:r>
        <w:rPr>
          <w:b w:val="0"/>
          <w:i w:val="0"/>
          <w:sz w:val="20"/>
        </w:rPr>
        <w:t xml:space="preserve"> is used, with this paragraph as the qualification. The CRO's contribution is observational rather than transactional — the value of the seat is that enterprise risk sees the decision being made, not that the decision waits on it. Recording that as </w:t>
      </w:r>
      <w:r>
        <w:rPr>
          <w:b/>
          <w:i w:val="0"/>
          <w:sz w:val="20"/>
        </w:rPr>
        <w:t>I</w:t>
      </w:r>
      <w:r>
        <w:rPr>
          <w:b w:val="0"/>
          <w:i w:val="0"/>
          <w:sz w:val="20"/>
        </w:rPr>
        <w:t xml:space="preserve"> would make the seat look ceremonial, which is the misreading the role exists to avoid.</w:t>
      </w:r>
    </w:p>
    <w:p>
      <w:pPr>
        <w:spacing w:before="280" w:after="80"/>
      </w:pPr>
      <w:r>
        <w:rPr>
          <w:b/>
          <w:i w:val="0"/>
          <w:color w:val="14352A"/>
          <w:sz w:val="28"/>
        </w:rPr>
        <w:t>7. The Conflict Rule</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A voting member who owns an open gate condition abstains from the vote at which it is verified.</w:t>
            </w:r>
            <w:r>
              <w:rPr>
                <w:b w:val="0"/>
                <w:i w:val="0"/>
                <w:sz w:val="20"/>
              </w:rPr>
              <w:t xml:space="preserve"> At Gate 2 this affects the Chief Actuary, who owns the chain behind </w:t>
            </w:r>
            <w:r>
              <w:rPr>
                <w:b/>
                <w:i w:val="0"/>
                <w:sz w:val="20"/>
              </w:rPr>
              <w:t>GC-03</w:t>
            </w:r>
            <w:r>
              <w:rPr>
                <w:b w:val="0"/>
                <w:i w:val="0"/>
                <w:sz w:val="20"/>
              </w:rPr>
              <w:t xml:space="preserve">. Quorum is unaffected — four of five voting seats remain. </w:t>
            </w:r>
          </w:p>
        </w:tc>
      </w:tr>
    </w:tbl>
    <w:p/>
    <w:p>
      <w:pPr>
        <w:spacing w:after="120"/>
      </w:pPr>
      <w:r>
        <w:rPr>
          <w:b w:val="0"/>
          <w:i w:val="0"/>
          <w:sz w:val="20"/>
        </w:rPr>
        <w:t xml:space="preserve">The matrix cannot show this, because it is a rule about a specific gate rather than a standing allocation. It is recorded here because a reader who takes the </w:t>
      </w:r>
      <w:r>
        <w:rPr>
          <w:b/>
          <w:i w:val="0"/>
          <w:sz w:val="20"/>
        </w:rPr>
        <w:t>V</w:t>
      </w:r>
      <w:r>
        <w:rPr>
          <w:b w:val="0"/>
          <w:i w:val="0"/>
          <w:sz w:val="20"/>
        </w:rPr>
        <w:t xml:space="preserve"> column literally would count five votes at Gate 2 and find four.</w:t>
      </w:r>
    </w:p>
    <w:p>
      <w:pPr>
        <w:spacing w:before="280" w:after="80"/>
      </w:pPr>
      <w:r>
        <w:rPr>
          <w:b/>
          <w:i w:val="0"/>
          <w:color w:val="14352A"/>
          <w:sz w:val="28"/>
        </w:rPr>
        <w:t>8. What the Matrix Reveals</w:t>
      </w:r>
    </w:p>
    <w:p>
      <w:pPr>
        <w:pStyle w:val="ListNumber"/>
        <w:spacing w:after="60"/>
      </w:pPr>
      <w:r>
        <w:rPr>
          <w:b/>
          <w:i w:val="0"/>
          <w:sz w:val="20"/>
        </w:rPr>
        <w:t>The Chair is Accountable on 8 of 20 activities and votes on none of them.</w:t>
      </w:r>
      <w:r>
        <w:rPr>
          <w:b w:val="0"/>
          <w:i w:val="0"/>
          <w:sz w:val="20"/>
        </w:rPr>
        <w:t xml:space="preserve"> That ratio is the governance model in a single number: heavy operational accountability, zero decision authority.</w:t>
      </w:r>
    </w:p>
    <w:p>
      <w:pPr>
        <w:pStyle w:val="ListNumber"/>
        <w:spacing w:after="60"/>
      </w:pPr>
      <w:r>
        <w:rPr>
          <w:b/>
          <w:i w:val="0"/>
          <w:sz w:val="20"/>
        </w:rPr>
        <w:t>Every product and regulatory activity is Accountable to a functional executive, not to the program.</w:t>
      </w:r>
      <w:r>
        <w:rPr>
          <w:b w:val="0"/>
          <w:i w:val="0"/>
          <w:sz w:val="20"/>
        </w:rPr>
        <w:t xml:space="preserve"> Pricing to the Chief Actuary, forms and filings to the GC, hedging to the CFO, channel commitments to the Head of Distribution. The program coordinates work it does not own, which is what makes the matrixed org chart necessary rather than merely convenient.</w:t>
      </w:r>
    </w:p>
    <w:p>
      <w:pPr>
        <w:pStyle w:val="ListNumber"/>
        <w:spacing w:after="60"/>
      </w:pPr>
      <w:r>
        <w:rPr>
          <w:b/>
          <w:i w:val="0"/>
          <w:sz w:val="20"/>
        </w:rPr>
        <w:t>Four executives are both Accountable for work and voting on the program that consumes it.</w:t>
      </w:r>
      <w:r>
        <w:rPr>
          <w:b w:val="0"/>
          <w:i w:val="0"/>
          <w:sz w:val="20"/>
        </w:rPr>
        <w:t xml:space="preserve"> The Chief Actuary signs the pricing basis and votes on whether the business case built from it should proceed. That is unavoidable in a functional carrier and is why the abstention rule at §6 exists at all — it handles the sharpest instance, not the general condition.</w:t>
      </w:r>
    </w:p>
    <w:p>
      <w:pPr>
        <w:pStyle w:val="ListNumber"/>
        <w:spacing w:after="60"/>
      </w:pPr>
      <w:r>
        <w:rPr>
          <w:b/>
          <w:i w:val="0"/>
          <w:sz w:val="20"/>
        </w:rPr>
        <w:t>Resourcing is Accountable to the sponsor, not the Chair.</w:t>
      </w:r>
      <w:r>
        <w:rPr>
          <w:b w:val="0"/>
          <w:i w:val="0"/>
          <w:sz w:val="20"/>
        </w:rPr>
        <w:t xml:space="preserve"> The program cannot staff itself; it borrows from functions. Assumption </w:t>
      </w:r>
      <w:r>
        <w:rPr>
          <w:b/>
          <w:i w:val="0"/>
          <w:sz w:val="20"/>
        </w:rPr>
        <w:t>A-08</w:t>
      </w:r>
      <w:r>
        <w:rPr>
          <w:b w:val="0"/>
          <w:i w:val="0"/>
          <w:sz w:val="20"/>
        </w:rPr>
        <w:t xml:space="preserve"> — that no competing internal launch draws the same actuarial and IT people in 2027 — is exposed precisely here, and the matrix shows why: nobody in the Chair column can hold anyone.</w:t>
      </w:r>
    </w:p>
    <w:p>
      <w:pPr>
        <w:spacing w:after="120"/>
      </w:pPr>
      <w:r>
        <w:rPr>
          <w:b w:val="0"/>
          <w:i w:val="0"/>
          <w:sz w:val="20"/>
        </w:rPr>
        <w:t xml:space="preserve">Maintained by C. Tyrrell, NPD Program Manager and Chair of the Gate Review Board. Related: </w:t>
      </w:r>
      <w:r>
        <w:rPr>
          <w:b w:val="0"/>
          <w:i w:val="0"/>
          <w:sz w:val="20"/>
        </w:rPr>
        <w:t>Stage-Gate Governance Model</w:t>
      </w:r>
      <w:r>
        <w:rPr>
          <w:b w:val="0"/>
          <w:i w:val="0"/>
          <w:sz w:val="20"/>
        </w:rPr>
        <w:t xml:space="preserve"> §4, §6.3 · </w:t>
      </w:r>
      <w:r>
        <w:rPr>
          <w:b w:val="0"/>
          <w:i w:val="0"/>
          <w:sz w:val="20"/>
        </w:rPr>
        <w:t>Org Chart</w:t>
      </w:r>
      <w:r>
        <w:rPr>
          <w:b w:val="0"/>
          <w:i w:val="0"/>
          <w:sz w:val="20"/>
        </w:rPr>
        <w:t xml:space="preserve"> · </w:t>
      </w:r>
      <w:r>
        <w:rPr>
          <w:b w:val="0"/>
          <w:i w:val="0"/>
          <w:sz w:val="20"/>
        </w:rPr>
        <w:t>Gate Conditions Register</w:t>
      </w:r>
      <w:r>
        <w:rPr>
          <w:b w:val="0"/>
          <w:i w:val="0"/>
          <w:sz w:val="20"/>
        </w:rPr>
        <w:t xml:space="preserve"> · </w:t>
      </w:r>
      <w:r>
        <w:rPr>
          <w:b w:val="0"/>
          <w:i w:val="0"/>
          <w:sz w:val="20"/>
        </w:rPr>
        <w:t>Program Charter</w:t>
      </w:r>
      <w:r>
        <w:rPr>
          <w:b w:val="0"/>
          <w:i w:val="0"/>
          <w:sz w:val="20"/>
        </w:rPr>
        <w:t xml:space="preserve"> §8–9.</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