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color w:val="5B6472"/>
          <w:sz w:val="18"/>
        </w:rPr>
        <w:t>Lighthouse Financial Services Company</w:t>
      </w:r>
    </w:p>
    <w:p>
      <w:r>
        <w:rPr>
          <w:b/>
          <w:color w:val="14352A"/>
          <w:sz w:val="34"/>
        </w:rPr>
        <w:t>Requirements Traceability Matrix</w:t>
      </w:r>
    </w:p>
    <w:p>
      <w:r>
        <w:rPr>
          <w:color w:val="1E5945"/>
          <w:sz w:val="18"/>
        </w:rPr>
        <w:t>Traced to Gate Decisions, Both Ends</w:t>
      </w:r>
    </w:p>
    <w:p/>
    <w:p>
      <w:pPr>
        <w:spacing w:after="120"/>
      </w:pPr>
      <w:r>
        <w:rPr>
          <w:b/>
          <w:i w:val="0"/>
          <w:sz w:val="20"/>
        </w:rPr>
        <w:t>Lighthouse Financial Services Company</w:t>
      </w:r>
      <w:r>
        <w:rPr>
          <w:b w:val="0"/>
          <w:i w:val="0"/>
          <w:sz w:val="20"/>
        </w:rPr>
        <w:t xml:space="preserve"> — Every product, regulatory and operational requirement for Beacon Index Advantage, traced to the gate that authorized it and the gate that will verify it. Status as at </w:t>
      </w:r>
      <w:r>
        <w:rPr>
          <w:b/>
          <w:i w:val="0"/>
          <w:sz w:val="20"/>
        </w:rPr>
        <w:t>16 October 2026</w:t>
      </w:r>
      <w:r>
        <w:rPr>
          <w:b w:val="0"/>
          <w:i w:val="0"/>
          <w:sz w:val="20"/>
        </w:rPr>
        <w:t>.</w:t>
      </w:r>
    </w:p>
    <w:p>
      <w:pPr>
        <w:spacing w:after="120"/>
      </w:pPr>
      <w:r>
        <w:rPr>
          <w:b w:val="0"/>
          <w:i w:val="0"/>
          <w:sz w:val="20"/>
        </w:rPr>
        <w:t>18</w:t>
      </w:r>
    </w:p>
    <w:p>
      <w:pPr>
        <w:spacing w:after="120"/>
      </w:pPr>
      <w:r>
        <w:rPr>
          <w:b w:val="0"/>
          <w:i w:val="0"/>
          <w:sz w:val="20"/>
        </w:rPr>
        <w:t>Requirements traced</w:t>
      </w:r>
    </w:p>
    <w:p>
      <w:pPr>
        <w:spacing w:after="120"/>
      </w:pPr>
      <w:r>
        <w:rPr>
          <w:b w:val="0"/>
          <w:i w:val="0"/>
          <w:sz w:val="20"/>
        </w:rPr>
        <w:t>14</w:t>
      </w:r>
    </w:p>
    <w:p>
      <w:pPr>
        <w:spacing w:after="120"/>
      </w:pPr>
      <w:r>
        <w:rPr>
          <w:b w:val="0"/>
          <w:i w:val="0"/>
          <w:sz w:val="20"/>
        </w:rPr>
        <w:t>Active</w:t>
      </w:r>
    </w:p>
    <w:p>
      <w:pPr>
        <w:spacing w:after="120"/>
      </w:pPr>
      <w:r>
        <w:rPr>
          <w:b w:val="0"/>
          <w:i w:val="0"/>
          <w:sz w:val="20"/>
        </w:rPr>
        <w:t>2</w:t>
      </w:r>
    </w:p>
    <w:p>
      <w:pPr>
        <w:spacing w:after="120"/>
      </w:pPr>
      <w:r>
        <w:rPr>
          <w:b w:val="0"/>
          <w:i w:val="0"/>
          <w:sz w:val="20"/>
        </w:rPr>
        <w:t>Withdrawn, still traceable</w:t>
      </w:r>
    </w:p>
    <w:p>
      <w:pPr>
        <w:spacing w:after="120"/>
      </w:pPr>
      <w:r>
        <w:rPr>
          <w:b w:val="0"/>
          <w:i w:val="0"/>
          <w:sz w:val="20"/>
        </w:rPr>
        <w:t>1</w:t>
      </w:r>
    </w:p>
    <w:p>
      <w:pPr>
        <w:spacing w:after="120"/>
      </w:pPr>
      <w:r>
        <w:rPr>
          <w:b w:val="0"/>
          <w:i w:val="0"/>
          <w:sz w:val="20"/>
        </w:rPr>
        <w:t>Excluded by decision</w:t>
      </w:r>
    </w:p>
    <w:p>
      <w:pPr>
        <w:spacing w:after="120"/>
      </w:pPr>
      <w:r>
        <w:rPr>
          <w:b/>
          <w:i w:val="0"/>
          <w:sz w:val="20"/>
        </w:rPr>
        <w:t>Contents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Why This Matrix Traces to Gates, Not Just to Tests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Active Requirements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Withdrawn and Excluded — Kept Traceable on Purpose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Forward Trace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Verification Coverage by Gate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Traceability Gaps</w:t>
      </w:r>
    </w:p>
    <w:p>
      <w:pPr>
        <w:pStyle w:val="ListNumber"/>
        <w:spacing w:after="60"/>
      </w:pPr>
      <w:r>
        <w:rPr>
          <w:b w:val="0"/>
          <w:i w:val="0"/>
          <w:sz w:val="20"/>
        </w:rPr>
        <w:t>Document Control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1. Why This Matrix Traces to Gates, Not Just to Tests</w:t>
      </w:r>
    </w:p>
    <w:p>
      <w:pPr>
        <w:spacing w:after="120"/>
      </w:pPr>
      <w:r>
        <w:rPr>
          <w:b w:val="0"/>
          <w:i w:val="0"/>
          <w:sz w:val="20"/>
        </w:rPr>
        <w:t xml:space="preserve">A conventional traceability matrix runs one direction: requirement → design → build → test case → result. That is necessary here too, and §4 carries it. But it is not sufficient in a stage-gate program, because a requirement in this program has </w:t>
      </w:r>
      <w:r>
        <w:rPr>
          <w:b/>
          <w:i w:val="0"/>
          <w:sz w:val="20"/>
        </w:rPr>
        <w:t>two decision endpoints</w:t>
      </w:r>
      <w:r>
        <w:rPr>
          <w:b w:val="0"/>
          <w:i w:val="0"/>
          <w:sz w:val="20"/>
        </w:rPr>
        <w:t>, not one.</w:t>
      </w:r>
    </w:p>
    <w:p>
      <w:pPr>
        <w:pStyle w:val="ListBullet"/>
        <w:spacing w:after="60"/>
      </w:pPr>
      <w:r>
        <w:rPr>
          <w:b/>
          <w:i w:val="0"/>
          <w:sz w:val="20"/>
        </w:rPr>
        <w:t>Authorized at a gate.</w:t>
      </w:r>
      <w:r>
        <w:rPr>
          <w:b w:val="0"/>
          <w:i w:val="0"/>
          <w:sz w:val="20"/>
        </w:rPr>
        <w:t xml:space="preserve"> No requirement exists because someone wrote it down. It exists because a gate released the funding for the stage that builds it. PR-04 through PR-06 were authorized at Gate 1; PR-01 through PR-03 predate it and were authorized at Gate 0.</w:t>
      </w:r>
    </w:p>
    <w:p>
      <w:pPr>
        <w:pStyle w:val="ListBullet"/>
        <w:spacing w:after="60"/>
      </w:pPr>
      <w:r>
        <w:rPr>
          <w:b/>
          <w:i w:val="0"/>
          <w:sz w:val="20"/>
        </w:rPr>
        <w:t>Verified at a gate.</w:t>
      </w:r>
      <w:r>
        <w:rPr>
          <w:b w:val="0"/>
          <w:i w:val="0"/>
          <w:sz w:val="20"/>
        </w:rPr>
        <w:t xml:space="preserve"> Test evidence is tabled to a specific gate as part of a must-meet certification. A requirement whose verification does not land at a gate is a requirement nobody is obliged to check.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val="clear" w:fill="E8F1ED"/>
          </w:tcPr>
          <w:p>
            <w:pPr>
              <w:spacing w:after="120"/>
            </w:pPr>
            <w:r>
              <w:rPr>
                <w:b/>
                <w:i w:val="0"/>
                <w:sz w:val="20"/>
              </w:rPr>
              <w:t>The practical consequence: a requirement can be traced to the exact decision that created it and the exact decision that will close it.</w:t>
            </w:r>
            <w:r>
              <w:rPr>
                <w:b w:val="0"/>
                <w:i w:val="0"/>
                <w:sz w:val="20"/>
              </w:rPr>
              <w:t xml:space="preserve"> That is a stronger claim than "it has a test case," and it is the claim a gate actually needs — because at a gate the question is not "was this tested?" but "is the Board entitled to rely on this being done?" </w:t>
            </w:r>
          </w:p>
        </w:tc>
      </w:tr>
    </w:tbl>
    <w:p/>
    <w:p>
      <w:pPr>
        <w:spacing w:before="280" w:after="80"/>
      </w:pPr>
      <w:r>
        <w:rPr>
          <w:b/>
          <w:i w:val="0"/>
          <w:color w:val="14352A"/>
          <w:sz w:val="28"/>
        </w:rPr>
        <w:t>2. Active Requirements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08"/>
        <w:gridCol w:w="1608"/>
        <w:gridCol w:w="1608"/>
        <w:gridCol w:w="1608"/>
        <w:gridCol w:w="1608"/>
        <w:gridCol w:w="1608"/>
      </w:tblGrid>
      <w:tr>
        <w:tc>
          <w:tcPr>
            <w:tcW w:type="dxa" w:w="1608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ID</w:t>
            </w:r>
          </w:p>
        </w:tc>
        <w:tc>
          <w:tcPr>
            <w:tcW w:type="dxa" w:w="1608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Requirement</w:t>
            </w:r>
          </w:p>
        </w:tc>
        <w:tc>
          <w:tcPr>
            <w:tcW w:type="dxa" w:w="1608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Source</w:t>
            </w:r>
          </w:p>
        </w:tc>
        <w:tc>
          <w:tcPr>
            <w:tcW w:type="dxa" w:w="1608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Auth.</w:t>
            </w:r>
          </w:p>
        </w:tc>
        <w:tc>
          <w:tcPr>
            <w:tcW w:type="dxa" w:w="1608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Verified</w:t>
            </w:r>
          </w:p>
        </w:tc>
        <w:tc>
          <w:tcPr>
            <w:tcW w:type="dxa" w:w="1608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Status</w:t>
            </w:r>
          </w:p>
        </w:tc>
      </w:tr>
      <w:tr>
        <w:tc>
          <w:tcPr>
            <w:tcW w:type="dxa" w:w="1608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PR-01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Single-premium deferred fixed indexed annuity chassis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Gate 0 concept · D-01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G0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G3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Active</w:t>
            </w:r>
          </w:p>
        </w:tc>
      </w:tr>
      <w:tr>
        <w:tc>
          <w:tcPr>
            <w:tcW w:type="dxa" w:w="1608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PR-02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Seven-year declining surrender-charge schedule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Gate 0 concept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G0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G3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Active</w:t>
            </w:r>
          </w:p>
        </w:tc>
      </w:tr>
      <w:tr>
        <w:tc>
          <w:tcPr>
            <w:tcW w:type="dxa" w:w="1608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PR-03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Optional GLWB rider (not embedded)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D-05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G0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G3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Active</w:t>
            </w:r>
          </w:p>
        </w:tc>
      </w:tr>
      <w:tr>
        <w:tc>
          <w:tcPr>
            <w:tcW w:type="dxa" w:w="1608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PR-04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Fixed account crediting strategy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D-03 launch set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G1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G2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Active</w:t>
            </w:r>
          </w:p>
        </w:tc>
      </w:tr>
      <w:tr>
        <w:tc>
          <w:tcPr>
            <w:tcW w:type="dxa" w:w="1608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PR-05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One-year point-to-point on the Calder Balanced 5, capped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D-03 launch set · DEP-04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G1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G2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Active</w:t>
            </w:r>
          </w:p>
        </w:tc>
      </w:tr>
      <w:tr>
        <w:tc>
          <w:tcPr>
            <w:tcW w:type="dxa" w:w="1608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PR-06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One-year performance-triggered crediting strategy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D-03 launch set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G1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G2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Active</w:t>
            </w:r>
          </w:p>
        </w:tc>
      </w:tr>
      <w:tr>
        <w:tc>
          <w:tcPr>
            <w:tcW w:type="dxa" w:w="1608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PR-09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Compact-route filing across member states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D-06 · A-02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G1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G3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Active</w:t>
            </w:r>
          </w:p>
        </w:tc>
      </w:tr>
      <w:tr>
        <w:tc>
          <w:tcPr>
            <w:tcW w:type="dxa" w:w="1608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PR-10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Separate SERFF filings for California and Florida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D-06 · DEP-02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G1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G3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Active</w:t>
            </w:r>
          </w:p>
        </w:tc>
      </w:tr>
      <w:tr>
        <w:tc>
          <w:tcPr>
            <w:tcW w:type="dxa" w:w="1608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PR-12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Compliant hypothetical performance illustrations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NAIC #275 · R-08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G1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G2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Active</w:t>
            </w:r>
          </w:p>
        </w:tc>
      </w:tr>
      <w:tr>
        <w:tc>
          <w:tcPr>
            <w:tcW w:type="dxa" w:w="1608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PR-13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Suitability and best-interest advisor training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NAIC Model Reg #275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G1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G4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Active</w:t>
            </w:r>
          </w:p>
        </w:tc>
      </w:tr>
      <w:tr>
        <w:tc>
          <w:tcPr>
            <w:tcW w:type="dxa" w:w="1608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PR-15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Extension of the incumbent admin platform (no new system)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D-07 · A-04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G1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G2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Active</w:t>
            </w:r>
          </w:p>
        </w:tc>
      </w:tr>
      <w:tr>
        <w:tc>
          <w:tcPr>
            <w:tcW w:type="dxa" w:w="1608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PR-16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GLWB risk transfer via reinsurance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DEP-05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G1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G3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Active</w:t>
            </w:r>
          </w:p>
        </w:tc>
      </w:tr>
      <w:tr>
        <w:tc>
          <w:tcPr>
            <w:tcW w:type="dxa" w:w="1608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PR-17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New business issue and policyholder servicing capability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Gate 1 scope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G1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G4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Active</w:t>
            </w:r>
          </w:p>
        </w:tc>
      </w:tr>
      <w:tr>
        <w:tc>
          <w:tcPr>
            <w:tcW w:type="dxa" w:w="1608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PR-18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Distribution through existing IMO/BD relationships only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A-05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G1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G4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Active</w:t>
            </w:r>
          </w:p>
        </w:tc>
      </w:tr>
      <w:tr>
        <w:tc>
          <w:tcPr>
            <w:tcW w:type="dxa" w:w="1608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PR-14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In-house hedging of the GLWB guarantee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D-08 · A-06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G1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G4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At risk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val="clear" w:fill="FBEAE8"/>
          </w:tcPr>
          <w:p>
            <w:pPr>
              <w:spacing w:after="120"/>
            </w:pPr>
            <w:r>
              <w:rPr>
                <w:b/>
                <w:i w:val="0"/>
                <w:sz w:val="20"/>
              </w:rPr>
              <w:t>PR-14 is the only active requirement carrying an at-risk trace.</w:t>
            </w:r>
            <w:r>
              <w:rPr>
                <w:b w:val="0"/>
                <w:i w:val="0"/>
                <w:sz w:val="20"/>
              </w:rPr>
              <w:t xml:space="preserve"> In-house hedging of the GLWB guarantee runs through GC-05 to ISDA execution under DEP-06, where one of two counterparties has not begun negotiation. The requirement is authorized, the design exists, and the verification chain is incomplete at a point outside the program's control. Every other document in this suite flags the same item from a different angle — which is the register agreement you want, not duplication. </w:t>
            </w:r>
          </w:p>
        </w:tc>
      </w:tr>
    </w:tbl>
    <w:p/>
    <w:p>
      <w:pPr>
        <w:spacing w:before="280" w:after="80"/>
      </w:pPr>
      <w:r>
        <w:rPr>
          <w:b/>
          <w:i w:val="0"/>
          <w:color w:val="14352A"/>
          <w:sz w:val="28"/>
        </w:rPr>
        <w:t>3. Withdrawn and Excluded — Kept Traceable on Purpose</w:t>
      </w:r>
    </w:p>
    <w:p>
      <w:pPr>
        <w:spacing w:after="120"/>
      </w:pPr>
      <w:r>
        <w:rPr>
          <w:b w:val="0"/>
          <w:i w:val="0"/>
          <w:sz w:val="20"/>
        </w:rPr>
        <w:t xml:space="preserve">Two crediting strategies were cut at Gate 1 under </w:t>
      </w:r>
      <w:r>
        <w:rPr>
          <w:b/>
          <w:i w:val="0"/>
          <w:sz w:val="20"/>
        </w:rPr>
        <w:t>GC-01</w:t>
      </w:r>
      <w:r>
        <w:rPr>
          <w:b w:val="0"/>
          <w:i w:val="0"/>
          <w:sz w:val="20"/>
        </w:rPr>
        <w:t xml:space="preserve">, recorded as decision </w:t>
      </w:r>
      <w:r>
        <w:rPr>
          <w:b/>
          <w:i w:val="0"/>
          <w:sz w:val="20"/>
        </w:rPr>
        <w:t>D-03</w:t>
      </w:r>
      <w:r>
        <w:rPr>
          <w:b w:val="0"/>
          <w:i w:val="0"/>
          <w:sz w:val="20"/>
        </w:rPr>
        <w:t>. They remain in this matrix as withdrawn rows rather than being deleted from it.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08"/>
        <w:gridCol w:w="1608"/>
        <w:gridCol w:w="1608"/>
        <w:gridCol w:w="1608"/>
        <w:gridCol w:w="1608"/>
        <w:gridCol w:w="1608"/>
      </w:tblGrid>
      <w:tr>
        <w:tc>
          <w:tcPr>
            <w:tcW w:type="dxa" w:w="1608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ID</w:t>
            </w:r>
          </w:p>
        </w:tc>
        <w:tc>
          <w:tcPr>
            <w:tcW w:type="dxa" w:w="1608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Requirement</w:t>
            </w:r>
          </w:p>
        </w:tc>
        <w:tc>
          <w:tcPr>
            <w:tcW w:type="dxa" w:w="1608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Source</w:t>
            </w:r>
          </w:p>
        </w:tc>
        <w:tc>
          <w:tcPr>
            <w:tcW w:type="dxa" w:w="1608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Auth.</w:t>
            </w:r>
          </w:p>
        </w:tc>
        <w:tc>
          <w:tcPr>
            <w:tcW w:type="dxa" w:w="1608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Verified</w:t>
            </w:r>
          </w:p>
        </w:tc>
        <w:tc>
          <w:tcPr>
            <w:tcW w:type="dxa" w:w="1608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Status</w:t>
            </w:r>
          </w:p>
        </w:tc>
      </w:tr>
      <w:tr>
        <w:tc>
          <w:tcPr>
            <w:tcW w:type="dxa" w:w="1608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PR-07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Participation-rate crediting strategy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Gate 0 concept (5-strategy set)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G0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—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Withdrawn</w:t>
            </w:r>
          </w:p>
        </w:tc>
      </w:tr>
      <w:tr>
        <w:tc>
          <w:tcPr>
            <w:tcW w:type="dxa" w:w="1608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PR-08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Monthly-averaged crediting strategy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Gate 0 concept (5-strategy set)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G0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—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Withdrawn</w:t>
            </w:r>
          </w:p>
        </w:tc>
      </w:tr>
      <w:tr>
        <w:tc>
          <w:tcPr>
            <w:tcW w:type="dxa" w:w="1608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PR-11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New York excluded from launch scope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A-03 · D-02 · GC-02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G1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—</w:t>
            </w:r>
          </w:p>
        </w:tc>
        <w:tc>
          <w:tcPr>
            <w:tcW w:type="dxa" w:w="1608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Excluded by decision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val="clear" w:fill="FDF3DF"/>
          </w:tcPr>
          <w:p>
            <w:pPr>
              <w:spacing w:after="120"/>
            </w:pPr>
            <w:r>
              <w:rPr>
                <w:b/>
                <w:i w:val="0"/>
                <w:sz w:val="20"/>
              </w:rPr>
              <w:t>An RTM that deletes cut requirements cannot answer the most common question asked of a launched product: “why doesn't it do X?”</w:t>
            </w:r>
            <w:r>
              <w:rPr>
                <w:b w:val="0"/>
                <w:i w:val="0"/>
                <w:sz w:val="20"/>
              </w:rPr>
              <w:t xml:space="preserve"> With PR-07 and PR-08 retained, the answer is a citation rather than an argument: withdrawn at Gate 1 on 11 June 2026 under GC-01, recorded as D-03, because the incumbent platform and illustration engine could not support them (R-04, I-02) and their forecast contribution did not justify building the capability. The build allocation returned to reserve. </w:t>
            </w:r>
          </w:p>
        </w:tc>
      </w:tr>
    </w:tbl>
    <w:p/>
    <w:p>
      <w:pPr>
        <w:spacing w:after="120"/>
      </w:pPr>
      <w:r>
        <w:rPr>
          <w:b w:val="0"/>
          <w:i w:val="0"/>
          <w:sz w:val="20"/>
        </w:rPr>
        <w:t xml:space="preserve">The distinction between </w:t>
      </w:r>
      <w:r>
        <w:rPr>
          <w:b/>
          <w:i w:val="0"/>
          <w:sz w:val="20"/>
        </w:rPr>
        <w:t>withdrawn</w:t>
      </w:r>
      <w:r>
        <w:rPr>
          <w:b w:val="0"/>
          <w:i w:val="0"/>
          <w:sz w:val="20"/>
        </w:rPr>
        <w:t xml:space="preserve"> and </w:t>
      </w:r>
      <w:r>
        <w:rPr>
          <w:b/>
          <w:i w:val="0"/>
          <w:sz w:val="20"/>
        </w:rPr>
        <w:t>excluded</w:t>
      </w:r>
      <w:r>
        <w:rPr>
          <w:b w:val="0"/>
          <w:i w:val="0"/>
          <w:sz w:val="20"/>
        </w:rPr>
        <w:t xml:space="preserve"> is deliberate and is not cosmetic. PR-07 and PR-08 were in scope and were removed. PR-11 — New York — was never in launch scope; it is an exclusion with a deferral memorandum recording the conditions under which it would be revisited. Collapsing the two would make a considered scope decision look like a cut, and a cut look like a considered scope decision.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4. Forward Trace</w:t>
      </w:r>
    </w:p>
    <w:p>
      <w:pPr>
        <w:spacing w:after="120"/>
      </w:pPr>
      <w:r>
        <w:rPr>
          <w:b w:val="0"/>
          <w:i w:val="0"/>
          <w:sz w:val="20"/>
        </w:rPr>
        <w:t>The conventional chain, requirement through to the evidence that closes it.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ID</w:t>
            </w:r>
          </w:p>
        </w:tc>
        <w:tc>
          <w:tcPr>
            <w:tcW w:type="dxa" w:w="4824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Trace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PR-01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Product spec → contract form filing → Compact submission → issue testing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PR-02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Product spec → contract form → illustration engine → admin platform config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PR-03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Rider spec → pricing basis → GC-03 external review → contract form → hedging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PR-04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Product spec → admin platform config → illustration validation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PR-05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Index license → pricing → illustration validation → hedging instrument selection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PR-06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Product spec → admin platform config → illustration validation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PR-07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Withdrawn at Gate 1 under GC-01 (D-03).</w:t>
            </w:r>
            <w:r>
              <w:rPr>
                <w:b w:val="0"/>
                <w:i w:val="0"/>
                <w:sz w:val="17"/>
              </w:rPr>
              <w:t xml:space="preserve"> Platform could not support it without custom development (R-04); build allocation returned to reserve. Not deferred — out of scope.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PR-08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Withdrawn at Gate 1 under GC-01 (D-03).</w:t>
            </w:r>
            <w:r>
              <w:rPr>
                <w:b w:val="0"/>
                <w:i w:val="0"/>
                <w:sz w:val="17"/>
              </w:rPr>
              <w:t xml:space="preserve"> Illustration engine could not produce compliant hypothetical performance (I-02). Not deferred — out of scope.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PR-09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Filing plan → IIPRC submission (DEP-01) → approval → state activation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PR-10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Filing plan → SERFF submissions → department review → state activation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PR-11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Scope exclusion, closed under GC-02.</w:t>
            </w:r>
            <w:r>
              <w:rPr>
                <w:b w:val="0"/>
                <w:i w:val="0"/>
                <w:sz w:val="17"/>
              </w:rPr>
              <w:t xml:space="preserve"> Deferral memorandum filed; filing plan, distribution footprint and Stage 4 training scope all derive from it.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PR-12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Illustration spec → Brightpath build → validation vs filed methodology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PR-13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Training spec → enablement build → delivery → completion records at Gate 4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PR-14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Hedging design → GC-05 readiness plan → ISDA execution (DEP-06) → live shadow book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PR-15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Cordelane SOW → configuration (DEP-03) → issue and servicing testing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PR-16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Halverson Re term sheet → treaty → capital treatment confirmation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PR-17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Ops design → process build → end-to-end test with trained staff at Gate 4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PR-18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Channel plan → GC-04 written commitments → appointment and licensing pipeline</w:t>
            </w:r>
          </w:p>
        </w:tc>
      </w:tr>
    </w:tbl>
    <w:p/>
    <w:p>
      <w:pPr>
        <w:spacing w:before="280" w:after="80"/>
      </w:pPr>
      <w:r>
        <w:rPr>
          <w:b/>
          <w:i w:val="0"/>
          <w:color w:val="14352A"/>
          <w:sz w:val="28"/>
        </w:rPr>
        <w:t>5. Verification Coverage by Gate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Verifying gate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Requirements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IDs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G2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5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PR-04, PR-05, PR-06, PR-12, PR-15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G3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6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PR-01, PR-02, PR-03, PR-09, PR-10, PR-16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G4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4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PR-13, PR-14, PR-17, PR-18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— (no verifying gate)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3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PR-07, PR-08, PR-11</w:t>
            </w:r>
          </w:p>
        </w:tc>
      </w:tr>
    </w:tbl>
    <w:p/>
    <w:p>
      <w:pPr>
        <w:spacing w:after="120"/>
      </w:pPr>
      <w:r>
        <w:rPr>
          <w:b w:val="0"/>
          <w:i w:val="0"/>
          <w:sz w:val="20"/>
        </w:rPr>
        <w:t xml:space="preserve">Verification load concentrates at </w:t>
      </w:r>
      <w:r>
        <w:rPr>
          <w:b/>
          <w:i w:val="0"/>
          <w:sz w:val="20"/>
        </w:rPr>
        <w:t>Gate 3</w:t>
      </w:r>
      <w:r>
        <w:rPr>
          <w:b w:val="0"/>
          <w:i w:val="0"/>
          <w:sz w:val="20"/>
        </w:rPr>
        <w:t xml:space="preserve"> — regulatory approval, reserve adequacy and final rates all land together — and at </w:t>
      </w:r>
      <w:r>
        <w:rPr>
          <w:b/>
          <w:i w:val="0"/>
          <w:sz w:val="20"/>
        </w:rPr>
        <w:t>Gate 4</w:t>
      </w:r>
      <w:r>
        <w:rPr>
          <w:b w:val="0"/>
          <w:i w:val="0"/>
          <w:sz w:val="20"/>
        </w:rPr>
        <w:t>, where operational and distribution readiness is demonstrated rather than planned. Gate 2's share is smaller than it looks: three of its requirements were made materially easier by the GC-01 scope reduction, since the two strategies the illustration engine could not support are no longer in the set it must validate.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6. Traceability Gaps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ID</w:t>
            </w:r>
          </w:p>
        </w:tc>
        <w:tc>
          <w:tcPr>
            <w:tcW w:type="dxa" w:w="4824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Gap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TG-01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No requirement traces to a benefit.</w:t>
            </w:r>
            <w:r>
              <w:rPr>
                <w:b w:val="0"/>
                <w:i w:val="0"/>
                <w:sz w:val="17"/>
              </w:rPr>
              <w:t xml:space="preserve"> The matrix traces requirements to gates and to test evidence, but nothing links PR-05 (the capped indexed strategy) to BEN-05 (crediting mix), or PR-18 (channel) to BEN-01 (volume). A product can therefore satisfy every requirement and still miss its business case, and this matrix would show full coverage throughout. The </w:t>
            </w:r>
            <w:r>
              <w:rPr>
                <w:b w:val="0"/>
                <w:i w:val="0"/>
                <w:sz w:val="17"/>
              </w:rPr>
              <w:t>Benefits Realization Plan</w:t>
            </w:r>
            <w:r>
              <w:rPr>
                <w:b w:val="0"/>
                <w:i w:val="0"/>
                <w:sz w:val="17"/>
              </w:rPr>
              <w:t xml:space="preserve"> carries the benefit side; the two documents are not joined.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TG-02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Two requirements are verified by parties outside the program.</w:t>
            </w:r>
            <w:r>
              <w:rPr>
                <w:b w:val="0"/>
                <w:i w:val="0"/>
                <w:sz w:val="17"/>
              </w:rPr>
              <w:t xml:space="preserve"> PR-09 and PR-10 close only when regulators approve (DEP-01, DEP-02). The program can evidence submission quality and nothing further; the requirement's closure is not within its gift.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TG-03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PR-13 verification is a completion record, not an effectiveness measure.</w:t>
            </w:r>
            <w:r>
              <w:rPr>
                <w:b w:val="0"/>
                <w:i w:val="0"/>
                <w:sz w:val="17"/>
              </w:rPr>
              <w:t xml:space="preserve"> Advisor training under NAIC #275 is verified at Gate 4 by delivery and completion records. Whether the training changed advisor behavior is a market-conduct question no gate in this program asks.</w:t>
            </w:r>
          </w:p>
        </w:tc>
      </w:tr>
      <w:tr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TG-04</w:t>
            </w:r>
          </w:p>
        </w:tc>
        <w:tc>
          <w:tcPr>
            <w:tcW w:type="dxa" w:w="4824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No requirement covers the post-launch window.</w:t>
            </w:r>
            <w:r>
              <w:rPr>
                <w:b w:val="0"/>
                <w:i w:val="0"/>
                <w:sz w:val="17"/>
              </w:rPr>
              <w:t xml:space="preserve"> Every row verifies at or before Gate 4. Gate 5 reviews outcomes, not requirements — so nothing in this matrix has a verification point after 06 Mar 2028.</w:t>
            </w:r>
          </w:p>
        </w:tc>
      </w:tr>
    </w:tbl>
    <w:p/>
    <w:p>
      <w:pPr>
        <w:spacing w:before="280" w:after="80"/>
      </w:pPr>
      <w:r>
        <w:rPr>
          <w:b/>
          <w:i w:val="0"/>
          <w:color w:val="14352A"/>
          <w:sz w:val="28"/>
        </w:rPr>
        <w:t>7. Document Control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Version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Date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Change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1.0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05 Feb 2026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Opened at Gate 0 with the concept requirement set, including the five proposed crediting strategies.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1.1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11 Jun 2026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 xml:space="preserve">Gate 1 authorizations recorded. PR-07 and PR-08 moved to withdrawn under GC-01 / D-03; PR-11 recorded as excluded under GC-02 / D-02. </w:t>
            </w:r>
            <w:r>
              <w:rPr>
                <w:b/>
                <w:i w:val="0"/>
                <w:sz w:val="17"/>
              </w:rPr>
              <w:t>No row deleted.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1.2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16 Oct 2026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PR-14 trace marked at risk following the September program review (GC-05 / DEP-06). Traceability gaps TG-01..TG-04 formalized.</w:t>
            </w:r>
          </w:p>
        </w:tc>
      </w:tr>
    </w:tbl>
    <w:p/>
    <w:p>
      <w:pPr>
        <w:spacing w:after="120"/>
      </w:pPr>
      <w:r>
        <w:rPr>
          <w:b w:val="0"/>
          <w:i w:val="0"/>
          <w:sz w:val="20"/>
        </w:rPr>
        <w:t xml:space="preserve">Maintained by C. Tyrrell, NPD Program Manager and Chair of the Gate Review Board. Related: </w:t>
      </w:r>
      <w:r>
        <w:rPr>
          <w:b w:val="0"/>
          <w:i w:val="0"/>
          <w:sz w:val="20"/>
        </w:rPr>
        <w:t>Gate Decision Framework</w:t>
      </w:r>
      <w:r>
        <w:rPr>
          <w:b w:val="0"/>
          <w:i w:val="0"/>
          <w:sz w:val="20"/>
        </w:rPr>
        <w:t xml:space="preserve"> · </w:t>
      </w:r>
      <w:r>
        <w:rPr>
          <w:b w:val="0"/>
          <w:i w:val="0"/>
          <w:sz w:val="20"/>
        </w:rPr>
        <w:t>Gate Conditions Register</w:t>
      </w:r>
      <w:r>
        <w:rPr>
          <w:b w:val="0"/>
          <w:i w:val="0"/>
          <w:sz w:val="20"/>
        </w:rPr>
        <w:t xml:space="preserve"> · </w:t>
      </w:r>
      <w:r>
        <w:rPr>
          <w:b w:val="0"/>
          <w:i w:val="0"/>
          <w:sz w:val="20"/>
        </w:rPr>
        <w:t>RAIDD Log</w:t>
      </w:r>
      <w:r>
        <w:rPr>
          <w:b w:val="0"/>
          <w:i w:val="0"/>
          <w:sz w:val="20"/>
        </w:rPr>
        <w:t xml:space="preserve"> · </w:t>
      </w:r>
      <w:r>
        <w:rPr>
          <w:b w:val="0"/>
          <w:i w:val="0"/>
          <w:sz w:val="20"/>
        </w:rPr>
        <w:t>Benefits Realization Plan</w:t>
      </w:r>
      <w:r>
        <w:rPr>
          <w:b w:val="0"/>
          <w:i w:val="0"/>
          <w:sz w:val="20"/>
        </w:rPr>
        <w:t xml:space="preserve"> (see TG-01).</w:t>
      </w:r>
    </w:p>
    <w:p/>
    <w:p>
      <w:pPr>
        <w:jc w:val="left"/>
      </w:pPr>
      <w:r>
        <w:rPr>
          <w:color w:val="5B6472"/>
          <w:sz w:val="15"/>
        </w:rPr>
        <w:t>Lighthouse Financial Services Company — Beacon Index Advantage program. Fictional portfolio artifact produced by C. Tyrrell to</w:t>
        <w:br/>
        <w:t>demonstrate stage-gate new product development governance. No real company, product, person or</w:t>
        <w:br/>
        <w:t>filing is depicted.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