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color w:val="5B6472"/>
          <w:sz w:val="18"/>
        </w:rPr>
        <w:t>Lighthouse Financial Services Company</w:t>
      </w:r>
    </w:p>
    <w:p>
      <w:r>
        <w:rPr>
          <w:b/>
          <w:color w:val="14352A"/>
          <w:sz w:val="34"/>
        </w:rPr>
        <w:t>Roles &amp; Responsibilities</w:t>
      </w:r>
    </w:p>
    <w:p>
      <w:r>
        <w:rPr>
          <w:color w:val="1E5945"/>
          <w:sz w:val="18"/>
        </w:rPr>
        <w:t>Roles &amp; Responsibilities</w:t>
      </w:r>
    </w:p>
    <w:p/>
    <w:p>
      <w:pPr>
        <w:spacing w:before="280" w:after="80"/>
      </w:pPr>
      <w:r>
        <w:rPr>
          <w:b/>
          <w:i w:val="0"/>
          <w:color w:val="14352A"/>
          <w:sz w:val="28"/>
        </w:rPr>
        <w:t>1. Why This Document Exists</w:t>
      </w:r>
    </w:p>
    <w:p>
      <w:pPr>
        <w:spacing w:after="120"/>
      </w:pPr>
      <w:r>
        <w:rPr>
          <w:b w:val="0"/>
          <w:i w:val="0"/>
          <w:sz w:val="20"/>
        </w:rPr>
        <w:t>New product development at an insurance carrier spends capital and scarce specialist capacity long before it produces a single policy. The pricing actuary modeling a rider is not available for in-force experience work while she does it. That is the real cost of an NPD program, and it is why this one is governed by a board rather than by a sponsor.</w:t>
      </w:r>
    </w:p>
    <w:p>
      <w:pPr>
        <w:spacing w:after="120"/>
      </w:pPr>
      <w:r>
        <w:rPr>
          <w:b w:val="0"/>
          <w:i w:val="0"/>
          <w:sz w:val="20"/>
        </w:rPr>
        <w:t xml:space="preserve">An org chart shows the thirteen teams. What it cannot show is the thing that actually determines how decisions get made here: </w:t>
      </w:r>
      <w:r>
        <w:rPr>
          <w:b/>
          <w:i w:val="0"/>
          <w:sz w:val="20"/>
        </w:rPr>
        <w:t>who is in the room, who has a vote, and who deliberately does not.</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The two seats without votes, and why they are different.</w:t>
            </w:r>
            <w:r>
              <w:rPr>
                <w:sz w:val="20"/>
              </w:rPr>
              <w:br/>
            </w:r>
            <w:r>
              <w:rPr>
                <w:b w:val="0"/>
                <w:i w:val="0"/>
                <w:sz w:val="20"/>
              </w:rPr>
              <w:t xml:space="preserve"> ⚠ </w:t>
            </w:r>
            <w:r>
              <w:rPr>
                <w:b/>
                <w:i w:val="0"/>
                <w:sz w:val="20"/>
              </w:rPr>
              <w:t>C. Tyrrell chairs the Gate Review Board and does not vote</w:t>
            </w:r>
            <w:r>
              <w:rPr>
                <w:b w:val="0"/>
                <w:i w:val="0"/>
                <w:sz w:val="20"/>
              </w:rPr>
              <w:t xml:space="preserve"> (decision record </w:t>
            </w:r>
            <w:r>
              <w:rPr>
                <w:b/>
                <w:i w:val="0"/>
                <w:sz w:val="20"/>
              </w:rPr>
              <w:t>D-11</w:t>
            </w:r>
            <w:r>
              <w:rPr>
                <w:b w:val="0"/>
                <w:i w:val="0"/>
                <w:sz w:val="20"/>
              </w:rPr>
              <w:t xml:space="preserve">). He is seated from the PMO and owns </w:t>
            </w:r>
            <w:r>
              <w:rPr>
                <w:b w:val="0"/>
                <w:i/>
                <w:sz w:val="20"/>
              </w:rPr>
              <w:t>gate integrity and evidence quality</w:t>
            </w:r>
            <w:r>
              <w:rPr>
                <w:b w:val="0"/>
                <w:i w:val="0"/>
                <w:sz w:val="20"/>
              </w:rPr>
              <w:t xml:space="preserve"> — which is precisely why he must not rule on the evidence he assembled. ***The person who controls what the board sees cannot also be the person who decides what it means.***</w:t>
            </w:r>
            <w:r>
              <w:rPr>
                <w:sz w:val="20"/>
              </w:rPr>
              <w:br/>
            </w:r>
            <w:r>
              <w:rPr>
                <w:b w:val="0"/>
                <w:i w:val="0"/>
                <w:sz w:val="20"/>
              </w:rPr>
              <w:t xml:space="preserve"> ⚠ </w:t>
            </w:r>
            <w:r>
              <w:rPr>
                <w:b/>
                <w:i w:val="0"/>
                <w:sz w:val="20"/>
              </w:rPr>
              <w:t>D. Pemberton, Chief Risk Officer, attends every gate as a non-voting observer</w:t>
            </w:r>
            <w:r>
              <w:rPr>
                <w:b w:val="0"/>
                <w:i w:val="0"/>
                <w:sz w:val="20"/>
              </w:rPr>
              <w:t xml:space="preserve"> — but with an </w:t>
            </w:r>
            <w:r>
              <w:rPr>
                <w:b/>
                <w:i w:val="0"/>
                <w:sz w:val="20"/>
              </w:rPr>
              <w:t>unrestricted right to record a dissent in the gate minute</w:t>
            </w:r>
            <w:r>
              <w:rPr>
                <w:b w:val="0"/>
                <w:i w:val="0"/>
                <w:sz w:val="20"/>
              </w:rPr>
              <w:t>, escalated to the Executive Committee within five business days. ***A recorded dissent does not block the decision. It makes the decision permanently attributable, which is a different and often stronger control.***</w:t>
            </w:r>
            <w:r>
              <w:rPr>
                <w:sz w:val="20"/>
              </w:rPr>
              <w:br/>
            </w:r>
            <w:r>
              <w:rPr>
                <w:b w:val="0"/>
                <w:i w:val="0"/>
                <w:sz w:val="20"/>
              </w:rPr>
              <w:t xml:space="preserve"> One has no vote because he is too close to the evidence. The other has no vote because he is deliberately outside the decision and must still be able to object on the record.</w:t>
            </w:r>
          </w:p>
        </w:tc>
      </w:tr>
    </w:tbl>
    <w:p/>
    <w:p>
      <w:pPr>
        <w:spacing w:before="280" w:after="80"/>
      </w:pPr>
      <w:r>
        <w:rPr>
          <w:b/>
          <w:i w:val="0"/>
          <w:color w:val="14352A"/>
          <w:sz w:val="28"/>
        </w:rPr>
        <w:t>2. The Gate Review Board</w:t>
      </w:r>
    </w:p>
    <w:p>
      <w:pPr>
        <w:spacing w:after="120"/>
      </w:pPr>
      <w:r>
        <w:rPr>
          <w:b w:val="0"/>
          <w:i w:val="0"/>
          <w:sz w:val="20"/>
        </w:rPr>
        <w:t xml:space="preserve">Five voting seats, two non-voting. ⚠ </w:t>
      </w:r>
      <w:r>
        <w:rPr>
          <w:b/>
          <w:i w:val="0"/>
          <w:sz w:val="20"/>
        </w:rPr>
        <w:t>Quorum must include the Chief Actuary and the General Counsel &amp; Chief Compliance Officer</w:t>
      </w:r>
      <w:r>
        <w:rPr>
          <w:b w:val="0"/>
          <w:i w:val="0"/>
          <w:sz w:val="20"/>
        </w:rPr>
        <w:t xml:space="preserve"> — a gate cannot be decided without the two functions most able to stop it.</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14352A"/>
          </w:tcPr>
          <w:p>
            <w:pPr>
              <w:spacing w:before="40" w:after="40"/>
            </w:pPr>
            <w:r>
              <w:rPr>
                <w:b/>
                <w:i w:val="0"/>
                <w:color w:val="FFFFFF"/>
                <w:sz w:val="17"/>
              </w:rPr>
              <w:t>Seat</w:t>
            </w:r>
          </w:p>
        </w:tc>
        <w:tc>
          <w:tcPr>
            <w:tcW w:type="dxa" w:w="2412"/>
            <w:shd w:val="clear" w:fill="14352A"/>
          </w:tcPr>
          <w:p>
            <w:pPr>
              <w:spacing w:before="40" w:after="40"/>
            </w:pPr>
            <w:r>
              <w:rPr>
                <w:b/>
                <w:i w:val="0"/>
                <w:color w:val="FFFFFF"/>
                <w:sz w:val="17"/>
              </w:rPr>
              <w:t>Holder</w:t>
            </w:r>
          </w:p>
        </w:tc>
        <w:tc>
          <w:tcPr>
            <w:tcW w:type="dxa" w:w="2412"/>
            <w:shd w:val="clear" w:fill="14352A"/>
          </w:tcPr>
          <w:p>
            <w:pPr>
              <w:spacing w:before="40" w:after="40"/>
            </w:pPr>
            <w:r>
              <w:rPr>
                <w:b/>
                <w:i w:val="0"/>
                <w:color w:val="FFFFFF"/>
                <w:sz w:val="17"/>
              </w:rPr>
              <w:t>Owns at the gate</w:t>
            </w:r>
          </w:p>
        </w:tc>
        <w:tc>
          <w:tcPr>
            <w:tcW w:type="dxa" w:w="2412"/>
            <w:shd w:val="clear" w:fill="14352A"/>
          </w:tcPr>
          <w:p>
            <w:pPr>
              <w:spacing w:before="40" w:after="40"/>
            </w:pPr>
            <w:r>
              <w:rPr>
                <w:b/>
                <w:i w:val="0"/>
                <w:color w:val="FFFFFF"/>
                <w:sz w:val="17"/>
              </w:rPr>
              <w:t>Vote</w:t>
            </w:r>
          </w:p>
        </w:tc>
      </w:tr>
      <w:tr>
        <w:tc>
          <w:tcPr>
            <w:tcW w:type="dxa" w:w="2412"/>
          </w:tcPr>
          <w:p>
            <w:pPr>
              <w:spacing w:before="40" w:after="40"/>
            </w:pPr>
            <w:r>
              <w:rPr>
                <w:b w:val="0"/>
                <w:i w:val="0"/>
                <w:sz w:val="17"/>
              </w:rPr>
              <w:t>Executive Sponsor</w:t>
            </w:r>
          </w:p>
        </w:tc>
        <w:tc>
          <w:tcPr>
            <w:tcW w:type="dxa" w:w="2412"/>
          </w:tcPr>
          <w:p>
            <w:pPr>
              <w:spacing w:before="40" w:after="40"/>
            </w:pPr>
            <w:r>
              <w:rPr>
                <w:b w:val="0"/>
                <w:i w:val="0"/>
                <w:sz w:val="17"/>
              </w:rPr>
              <w:t>G. Marchetti, Chief Product Officer</w:t>
            </w:r>
          </w:p>
        </w:tc>
        <w:tc>
          <w:tcPr>
            <w:tcW w:type="dxa" w:w="2412"/>
          </w:tcPr>
          <w:p>
            <w:pPr>
              <w:spacing w:before="40" w:after="40"/>
            </w:pPr>
            <w:r>
              <w:rPr>
                <w:b w:val="0"/>
                <w:i w:val="0"/>
                <w:sz w:val="17"/>
              </w:rPr>
              <w:t>Product viability, portfolio fit</w:t>
            </w:r>
          </w:p>
        </w:tc>
        <w:tc>
          <w:tcPr>
            <w:tcW w:type="dxa" w:w="2412"/>
          </w:tcPr>
          <w:p>
            <w:pPr>
              <w:spacing w:before="40" w:after="40"/>
            </w:pPr>
            <w:r>
              <w:rPr>
                <w:b w:val="0"/>
                <w:i w:val="0"/>
                <w:sz w:val="17"/>
              </w:rPr>
              <w:t>Voting</w:t>
            </w:r>
          </w:p>
        </w:tc>
      </w:tr>
      <w:tr>
        <w:tc>
          <w:tcPr>
            <w:tcW w:type="dxa" w:w="2412"/>
          </w:tcPr>
          <w:p>
            <w:pPr>
              <w:spacing w:before="40" w:after="40"/>
            </w:pPr>
            <w:r>
              <w:rPr>
                <w:b w:val="0"/>
                <w:i w:val="0"/>
                <w:sz w:val="17"/>
              </w:rPr>
              <w:t>Chief Actuary</w:t>
            </w:r>
          </w:p>
        </w:tc>
        <w:tc>
          <w:tcPr>
            <w:tcW w:type="dxa" w:w="2412"/>
          </w:tcPr>
          <w:p>
            <w:pPr>
              <w:spacing w:before="40" w:after="40"/>
            </w:pPr>
            <w:r>
              <w:rPr>
                <w:b w:val="0"/>
                <w:i w:val="0"/>
                <w:sz w:val="17"/>
              </w:rPr>
              <w:t>N. Adeyemi</w:t>
            </w:r>
          </w:p>
        </w:tc>
        <w:tc>
          <w:tcPr>
            <w:tcW w:type="dxa" w:w="2412"/>
          </w:tcPr>
          <w:p>
            <w:pPr>
              <w:spacing w:before="40" w:after="40"/>
            </w:pPr>
            <w:r>
              <w:rPr>
                <w:b w:val="0"/>
                <w:i w:val="0"/>
                <w:sz w:val="17"/>
              </w:rPr>
              <w:t>Pricing, reserve adequacy, assumption integrity</w:t>
            </w:r>
          </w:p>
        </w:tc>
        <w:tc>
          <w:tcPr>
            <w:tcW w:type="dxa" w:w="2412"/>
          </w:tcPr>
          <w:p>
            <w:pPr>
              <w:spacing w:before="40" w:after="40"/>
            </w:pPr>
            <w:r>
              <w:rPr>
                <w:b/>
                <w:i w:val="0"/>
                <w:sz w:val="17"/>
              </w:rPr>
              <w:t>Voting — quorum-critical</w:t>
            </w:r>
          </w:p>
        </w:tc>
      </w:tr>
      <w:tr>
        <w:tc>
          <w:tcPr>
            <w:tcW w:type="dxa" w:w="2412"/>
          </w:tcPr>
          <w:p>
            <w:pPr>
              <w:spacing w:before="40" w:after="40"/>
            </w:pPr>
            <w:r>
              <w:rPr>
                <w:b w:val="0"/>
                <w:i w:val="0"/>
                <w:sz w:val="17"/>
              </w:rPr>
              <w:t>General Counsel &amp; CCO</w:t>
            </w:r>
          </w:p>
        </w:tc>
        <w:tc>
          <w:tcPr>
            <w:tcW w:type="dxa" w:w="2412"/>
          </w:tcPr>
          <w:p>
            <w:pPr>
              <w:spacing w:before="40" w:after="40"/>
            </w:pPr>
            <w:r>
              <w:rPr>
                <w:b w:val="0"/>
                <w:i w:val="0"/>
                <w:sz w:val="17"/>
              </w:rPr>
              <w:t>B. Lindqvist</w:t>
            </w:r>
          </w:p>
        </w:tc>
        <w:tc>
          <w:tcPr>
            <w:tcW w:type="dxa" w:w="2412"/>
          </w:tcPr>
          <w:p>
            <w:pPr>
              <w:spacing w:before="40" w:after="40"/>
            </w:pPr>
            <w:r>
              <w:rPr>
                <w:b w:val="0"/>
                <w:i w:val="0"/>
                <w:sz w:val="17"/>
              </w:rPr>
              <w:t>Filing, contract forms, suitability, market conduct</w:t>
            </w:r>
          </w:p>
        </w:tc>
        <w:tc>
          <w:tcPr>
            <w:tcW w:type="dxa" w:w="2412"/>
          </w:tcPr>
          <w:p>
            <w:pPr>
              <w:spacing w:before="40" w:after="40"/>
            </w:pPr>
            <w:r>
              <w:rPr>
                <w:b/>
                <w:i w:val="0"/>
                <w:sz w:val="17"/>
              </w:rPr>
              <w:t>Voting — quorum-critical</w:t>
            </w:r>
          </w:p>
        </w:tc>
      </w:tr>
      <w:tr>
        <w:tc>
          <w:tcPr>
            <w:tcW w:type="dxa" w:w="2412"/>
          </w:tcPr>
          <w:p>
            <w:pPr>
              <w:spacing w:before="40" w:after="40"/>
            </w:pPr>
            <w:r>
              <w:rPr>
                <w:b w:val="0"/>
                <w:i w:val="0"/>
                <w:sz w:val="17"/>
              </w:rPr>
              <w:t>Head of Distribution</w:t>
            </w:r>
          </w:p>
        </w:tc>
        <w:tc>
          <w:tcPr>
            <w:tcW w:type="dxa" w:w="2412"/>
          </w:tcPr>
          <w:p>
            <w:pPr>
              <w:spacing w:before="40" w:after="40"/>
            </w:pPr>
            <w:r>
              <w:rPr>
                <w:b w:val="0"/>
                <w:i w:val="0"/>
                <w:sz w:val="17"/>
              </w:rPr>
              <w:t>R. Castellanos</w:t>
            </w:r>
          </w:p>
        </w:tc>
        <w:tc>
          <w:tcPr>
            <w:tcW w:type="dxa" w:w="2412"/>
          </w:tcPr>
          <w:p>
            <w:pPr>
              <w:spacing w:before="40" w:after="40"/>
            </w:pPr>
            <w:r>
              <w:rPr>
                <w:b w:val="0"/>
                <w:i w:val="0"/>
                <w:sz w:val="17"/>
              </w:rPr>
              <w:t>Volume assumptions, channel capacity</w:t>
            </w:r>
          </w:p>
        </w:tc>
        <w:tc>
          <w:tcPr>
            <w:tcW w:type="dxa" w:w="2412"/>
          </w:tcPr>
          <w:p>
            <w:pPr>
              <w:spacing w:before="40" w:after="40"/>
            </w:pPr>
            <w:r>
              <w:rPr>
                <w:b w:val="0"/>
                <w:i w:val="0"/>
                <w:sz w:val="17"/>
              </w:rPr>
              <w:t>Voting</w:t>
            </w:r>
          </w:p>
        </w:tc>
      </w:tr>
      <w:tr>
        <w:tc>
          <w:tcPr>
            <w:tcW w:type="dxa" w:w="2412"/>
          </w:tcPr>
          <w:p>
            <w:pPr>
              <w:spacing w:before="40" w:after="40"/>
            </w:pPr>
            <w:r>
              <w:rPr>
                <w:b w:val="0"/>
                <w:i w:val="0"/>
                <w:sz w:val="17"/>
              </w:rPr>
              <w:t>Chief Financial Officer</w:t>
            </w:r>
          </w:p>
        </w:tc>
        <w:tc>
          <w:tcPr>
            <w:tcW w:type="dxa" w:w="2412"/>
          </w:tcPr>
          <w:p>
            <w:pPr>
              <w:spacing w:before="40" w:after="40"/>
            </w:pPr>
            <w:r>
              <w:rPr>
                <w:b w:val="0"/>
                <w:i w:val="0"/>
                <w:sz w:val="17"/>
              </w:rPr>
              <w:t>J. Whitmore</w:t>
            </w:r>
          </w:p>
        </w:tc>
        <w:tc>
          <w:tcPr>
            <w:tcW w:type="dxa" w:w="2412"/>
          </w:tcPr>
          <w:p>
            <w:pPr>
              <w:spacing w:before="40" w:after="40"/>
            </w:pPr>
            <w:r>
              <w:rPr>
                <w:b w:val="0"/>
                <w:i w:val="0"/>
                <w:sz w:val="17"/>
              </w:rPr>
              <w:t>Capital, hurdle rate, funding release</w:t>
            </w:r>
          </w:p>
        </w:tc>
        <w:tc>
          <w:tcPr>
            <w:tcW w:type="dxa" w:w="2412"/>
          </w:tcPr>
          <w:p>
            <w:pPr>
              <w:spacing w:before="40" w:after="40"/>
            </w:pPr>
            <w:r>
              <w:rPr>
                <w:b w:val="0"/>
                <w:i w:val="0"/>
                <w:sz w:val="17"/>
              </w:rPr>
              <w:t>Voting</w:t>
            </w:r>
          </w:p>
        </w:tc>
      </w:tr>
      <w:tr>
        <w:tc>
          <w:tcPr>
            <w:tcW w:type="dxa" w:w="2412"/>
          </w:tcPr>
          <w:p>
            <w:pPr>
              <w:spacing w:before="40" w:after="40"/>
            </w:pPr>
            <w:r>
              <w:rPr>
                <w:b w:val="0"/>
                <w:i w:val="0"/>
                <w:sz w:val="17"/>
              </w:rPr>
              <w:t>Chief Risk Officer</w:t>
            </w:r>
          </w:p>
        </w:tc>
        <w:tc>
          <w:tcPr>
            <w:tcW w:type="dxa" w:w="2412"/>
          </w:tcPr>
          <w:p>
            <w:pPr>
              <w:spacing w:before="40" w:after="40"/>
            </w:pPr>
            <w:r>
              <w:rPr>
                <w:b w:val="0"/>
                <w:i w:val="0"/>
                <w:sz w:val="17"/>
              </w:rPr>
              <w:t>D. Pemberton</w:t>
            </w:r>
          </w:p>
        </w:tc>
        <w:tc>
          <w:tcPr>
            <w:tcW w:type="dxa" w:w="2412"/>
          </w:tcPr>
          <w:p>
            <w:pPr>
              <w:spacing w:before="40" w:after="40"/>
            </w:pPr>
            <w:r>
              <w:rPr>
                <w:b w:val="0"/>
                <w:i w:val="0"/>
                <w:sz w:val="17"/>
              </w:rPr>
              <w:t>Enterprise risk</w:t>
            </w:r>
          </w:p>
        </w:tc>
        <w:tc>
          <w:tcPr>
            <w:tcW w:type="dxa" w:w="2412"/>
          </w:tcPr>
          <w:p>
            <w:pPr>
              <w:spacing w:before="40" w:after="40"/>
            </w:pPr>
            <w:r>
              <w:rPr>
                <w:b/>
                <w:i w:val="0"/>
                <w:sz w:val="17"/>
              </w:rPr>
              <w:t>No vote — dissent right</w:t>
            </w:r>
          </w:p>
        </w:tc>
      </w:tr>
      <w:tr>
        <w:tc>
          <w:tcPr>
            <w:tcW w:type="dxa" w:w="2412"/>
          </w:tcPr>
          <w:p>
            <w:pPr>
              <w:spacing w:before="40" w:after="40"/>
            </w:pPr>
            <w:r>
              <w:rPr>
                <w:b/>
                <w:i w:val="0"/>
                <w:sz w:val="17"/>
              </w:rPr>
              <w:t>Chair</w:t>
            </w:r>
          </w:p>
        </w:tc>
        <w:tc>
          <w:tcPr>
            <w:tcW w:type="dxa" w:w="2412"/>
          </w:tcPr>
          <w:p>
            <w:pPr>
              <w:spacing w:before="40" w:after="40"/>
            </w:pPr>
            <w:r>
              <w:rPr>
                <w:b/>
                <w:i w:val="0"/>
                <w:sz w:val="17"/>
              </w:rPr>
              <w:t>C. Tyrrell, NPD Program Manager</w:t>
            </w:r>
          </w:p>
        </w:tc>
        <w:tc>
          <w:tcPr>
            <w:tcW w:type="dxa" w:w="2412"/>
          </w:tcPr>
          <w:p>
            <w:pPr>
              <w:spacing w:before="40" w:after="40"/>
            </w:pPr>
            <w:r>
              <w:rPr>
                <w:b w:val="0"/>
                <w:i w:val="0"/>
                <w:sz w:val="17"/>
              </w:rPr>
              <w:t>Gate integrity, evidence quality</w:t>
            </w:r>
          </w:p>
        </w:tc>
        <w:tc>
          <w:tcPr>
            <w:tcW w:type="dxa" w:w="2412"/>
          </w:tcPr>
          <w:p>
            <w:pPr>
              <w:spacing w:before="40" w:after="40"/>
            </w:pPr>
            <w:r>
              <w:rPr>
                <w:b/>
                <w:i w:val="0"/>
                <w:sz w:val="17"/>
              </w:rPr>
              <w:t>No vote</w:t>
            </w:r>
          </w:p>
        </w:tc>
      </w:tr>
    </w:tbl>
    <w:p/>
    <w:p>
      <w:pPr>
        <w:spacing w:after="120"/>
      </w:pPr>
      <w:r>
        <w:rPr>
          <w:b w:val="0"/>
          <w:i w:val="0"/>
          <w:sz w:val="20"/>
        </w:rPr>
        <w:t xml:space="preserve">⚠ </w:t>
      </w:r>
      <w:r>
        <w:rPr>
          <w:b/>
          <w:i w:val="0"/>
          <w:sz w:val="20"/>
        </w:rPr>
        <w:t>Seats are held by role, not by individual.</w:t>
      </w:r>
      <w:r>
        <w:rPr>
          <w:b w:val="0"/>
          <w:i w:val="0"/>
          <w:sz w:val="20"/>
        </w:rPr>
        <w:t xml:space="preserve"> A member may send a delegate, but only one holding written authority. That rule exists so a gate is never quietly decided by whoever happened to be free that morning.</w:t>
      </w:r>
    </w:p>
    <w:p>
      <w:pPr>
        <w:spacing w:before="280" w:after="80"/>
      </w:pPr>
      <w:r>
        <w:rPr>
          <w:b/>
          <w:i w:val="0"/>
          <w:color w:val="14352A"/>
          <w:sz w:val="28"/>
        </w:rPr>
        <w:t>3. What the Chair Actually Owns</w:t>
      </w:r>
    </w:p>
    <w:p>
      <w:pPr>
        <w:spacing w:after="120"/>
      </w:pPr>
      <w:r>
        <w:rPr>
          <w:b w:val="0"/>
          <w:i w:val="0"/>
          <w:sz w:val="20"/>
        </w:rPr>
        <w:t xml:space="preserve">Removing the vote does not reduce the role; it relocates it. The chair owns everything about the gate </w:t>
      </w:r>
      <w:r>
        <w:rPr>
          <w:b w:val="0"/>
          <w:i/>
          <w:sz w:val="20"/>
        </w:rPr>
        <w:t>except the decision</w:t>
      </w:r>
      <w:r>
        <w:rPr>
          <w:b w:val="0"/>
          <w:i w:val="0"/>
          <w:sz w:val="20"/>
        </w:rPr>
        <w:t>, and that is a substantial and specific list:</w:t>
      </w:r>
    </w:p>
    <w:p>
      <w:pPr>
        <w:pStyle w:val="ListBullet"/>
        <w:spacing w:after="60"/>
      </w:pPr>
      <w:r>
        <w:rPr>
          <w:b/>
          <w:i w:val="0"/>
          <w:sz w:val="20"/>
        </w:rPr>
        <w:t>The decision package</w:t>
      </w:r>
      <w:r>
        <w:rPr>
          <w:b w:val="0"/>
          <w:i w:val="0"/>
          <w:sz w:val="20"/>
        </w:rPr>
        <w:t xml:space="preserve"> — that entry criteria are genuinely met before a gate convenes, rather than convening and discovering they are not.</w:t>
      </w:r>
    </w:p>
    <w:p>
      <w:pPr>
        <w:pStyle w:val="ListBullet"/>
        <w:spacing w:after="60"/>
      </w:pPr>
      <w:r>
        <w:rPr>
          <w:b/>
          <w:i w:val="0"/>
          <w:sz w:val="20"/>
        </w:rPr>
        <w:t>Evidence quality</w:t>
      </w:r>
      <w:r>
        <w:rPr>
          <w:b w:val="0"/>
          <w:i w:val="0"/>
          <w:sz w:val="20"/>
        </w:rPr>
        <w:t xml:space="preserve"> — that what the board is shown is complete, current, and not selectively assembled to produce a preferred outcome.</w:t>
      </w:r>
    </w:p>
    <w:p>
      <w:pPr>
        <w:pStyle w:val="ListBullet"/>
        <w:spacing w:after="60"/>
      </w:pPr>
      <w:r>
        <w:rPr>
          <w:b/>
          <w:i w:val="0"/>
          <w:sz w:val="20"/>
        </w:rPr>
        <w:t>Gate conditions</w:t>
      </w:r>
      <w:r>
        <w:rPr>
          <w:b w:val="0"/>
          <w:i w:val="0"/>
          <w:sz w:val="20"/>
        </w:rPr>
        <w:t xml:space="preserve"> — issuing them, tracking them, verifying closure. A condition that is issued and never verified is worse than no condition, because the record says it was handled.</w:t>
      </w:r>
    </w:p>
    <w:p>
      <w:pPr>
        <w:pStyle w:val="ListBullet"/>
        <w:spacing w:after="60"/>
      </w:pPr>
      <w:r>
        <w:rPr>
          <w:b/>
          <w:i w:val="0"/>
          <w:sz w:val="20"/>
        </w:rPr>
        <w:t>The minute</w:t>
      </w:r>
      <w:r>
        <w:rPr>
          <w:b w:val="0"/>
          <w:i w:val="0"/>
          <w:sz w:val="20"/>
        </w:rPr>
        <w:t xml:space="preserve"> — including any CRO dissent, recorded whether or not it is welcome.</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val="0"/>
                <w:i w:val="0"/>
                <w:sz w:val="20"/>
              </w:rPr>
              <w:t xml:space="preserve">⚠ </w:t>
            </w:r>
            <w:r>
              <w:rPr>
                <w:b/>
                <w:i w:val="0"/>
                <w:sz w:val="20"/>
              </w:rPr>
              <w:t>The uncomfortable implication, stated deliberately.</w:t>
            </w:r>
            <w:r>
              <w:rPr>
                <w:b w:val="0"/>
                <w:i w:val="0"/>
                <w:sz w:val="20"/>
              </w:rPr>
              <w:t xml:space="preserve"> A chair who assembles the package, controls what is shown, and also votes has effectively decided the gate before it convenes. ***Removing the vote is not ceremonial modesty — it is the only thing that makes the other four responsibilities trustworthy.***</w:t>
            </w:r>
          </w:p>
        </w:tc>
      </w:tr>
    </w:tbl>
    <w:p/>
    <w:p>
      <w:pPr>
        <w:spacing w:before="280" w:after="80"/>
      </w:pPr>
      <w:r>
        <w:rPr>
          <w:b/>
          <w:i w:val="0"/>
          <w:color w:val="14352A"/>
          <w:sz w:val="28"/>
        </w:rPr>
        <w:t>4. The Delivery Organization</w:t>
      </w:r>
    </w:p>
    <w:p>
      <w:pPr>
        <w:spacing w:after="120"/>
      </w:pPr>
      <w:r>
        <w:rPr>
          <w:b w:val="0"/>
          <w:i w:val="0"/>
          <w:sz w:val="20"/>
        </w:rPr>
        <w:t xml:space="preserve">Thirteen teams, each with a lead, and each owned at board level by a functional executive. ⚠ </w:t>
      </w:r>
      <w:r>
        <w:rPr>
          <w:b/>
          <w:i w:val="0"/>
          <w:sz w:val="20"/>
        </w:rPr>
        <w:t>That second column matters more than it looks:</w:t>
      </w:r>
      <w:r>
        <w:rPr>
          <w:b w:val="0"/>
          <w:i w:val="0"/>
          <w:sz w:val="20"/>
        </w:rPr>
        <w:t xml:space="preserve"> every team has a route to the board that does not run through the program, which is what stops the Program Manager becoming the sole channel between the work and the people deciding its fate.</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14352A"/>
          </w:tcPr>
          <w:p>
            <w:pPr>
              <w:spacing w:before="40" w:after="40"/>
            </w:pPr>
            <w:r>
              <w:rPr>
                <w:b/>
                <w:i w:val="0"/>
                <w:color w:val="FFFFFF"/>
                <w:sz w:val="17"/>
              </w:rPr>
              <w:t>Team</w:t>
            </w:r>
          </w:p>
        </w:tc>
        <w:tc>
          <w:tcPr>
            <w:tcW w:type="dxa" w:w="2412"/>
            <w:shd w:val="clear" w:fill="14352A"/>
          </w:tcPr>
          <w:p>
            <w:pPr>
              <w:spacing w:before="40" w:after="40"/>
            </w:pPr>
            <w:r>
              <w:rPr>
                <w:b/>
                <w:i w:val="0"/>
                <w:color w:val="FFFFFF"/>
                <w:sz w:val="17"/>
              </w:rPr>
              <w:t>Lead</w:t>
            </w:r>
          </w:p>
        </w:tc>
        <w:tc>
          <w:tcPr>
            <w:tcW w:type="dxa" w:w="2412"/>
            <w:shd w:val="clear" w:fill="14352A"/>
          </w:tcPr>
          <w:p>
            <w:pPr>
              <w:spacing w:before="40" w:after="40"/>
            </w:pPr>
            <w:r>
              <w:rPr>
                <w:b/>
                <w:i w:val="0"/>
                <w:color w:val="FFFFFF"/>
                <w:sz w:val="17"/>
              </w:rPr>
              <w:t>Board owner</w:t>
            </w:r>
          </w:p>
        </w:tc>
        <w:tc>
          <w:tcPr>
            <w:tcW w:type="dxa" w:w="2412"/>
            <w:shd w:val="clear" w:fill="14352A"/>
          </w:tcPr>
          <w:p>
            <w:pPr>
              <w:spacing w:before="40" w:after="40"/>
            </w:pPr>
            <w:r>
              <w:rPr>
                <w:b/>
                <w:i w:val="0"/>
                <w:color w:val="FFFFFF"/>
                <w:sz w:val="17"/>
              </w:rPr>
              <w:t>Owns</w:t>
            </w:r>
          </w:p>
        </w:tc>
      </w:tr>
      <w:tr>
        <w:tc>
          <w:tcPr>
            <w:tcW w:type="dxa" w:w="2412"/>
          </w:tcPr>
          <w:p>
            <w:pPr>
              <w:spacing w:before="40" w:after="40"/>
            </w:pPr>
            <w:r>
              <w:rPr>
                <w:b w:val="0"/>
                <w:i w:val="0"/>
                <w:sz w:val="17"/>
              </w:rPr>
              <w:t>Actuarial — Pricing &amp; Product Development</w:t>
            </w:r>
          </w:p>
        </w:tc>
        <w:tc>
          <w:tcPr>
            <w:tcW w:type="dxa" w:w="2412"/>
          </w:tcPr>
          <w:p>
            <w:pPr>
              <w:spacing w:before="40" w:after="40"/>
            </w:pPr>
            <w:r>
              <w:rPr>
                <w:b w:val="0"/>
                <w:i w:val="0"/>
                <w:sz w:val="17"/>
              </w:rPr>
              <w:t>S. Ravichandran</w:t>
            </w:r>
          </w:p>
        </w:tc>
        <w:tc>
          <w:tcPr>
            <w:tcW w:type="dxa" w:w="2412"/>
          </w:tcPr>
          <w:p>
            <w:pPr>
              <w:spacing w:before="40" w:after="40"/>
            </w:pPr>
            <w:r>
              <w:rPr>
                <w:b w:val="0"/>
                <w:i w:val="0"/>
                <w:sz w:val="17"/>
              </w:rPr>
              <w:t>N. Adeyemi</w:t>
            </w:r>
          </w:p>
        </w:tc>
        <w:tc>
          <w:tcPr>
            <w:tcW w:type="dxa" w:w="2412"/>
          </w:tcPr>
          <w:p>
            <w:pPr>
              <w:spacing w:before="40" w:after="40"/>
            </w:pPr>
            <w:r>
              <w:rPr>
                <w:b w:val="0"/>
                <w:i w:val="0"/>
                <w:sz w:val="17"/>
              </w:rPr>
              <w:t>Rider pricing, assumption setting, profitability modeling</w:t>
            </w:r>
          </w:p>
        </w:tc>
      </w:tr>
      <w:tr>
        <w:tc>
          <w:tcPr>
            <w:tcW w:type="dxa" w:w="2412"/>
          </w:tcPr>
          <w:p>
            <w:pPr>
              <w:spacing w:before="40" w:after="40"/>
            </w:pPr>
            <w:r>
              <w:rPr>
                <w:b w:val="0"/>
                <w:i w:val="0"/>
                <w:sz w:val="17"/>
              </w:rPr>
              <w:t>Actuarial — Valuation &amp; Financial Reporting</w:t>
            </w:r>
          </w:p>
        </w:tc>
        <w:tc>
          <w:tcPr>
            <w:tcW w:type="dxa" w:w="2412"/>
          </w:tcPr>
          <w:p>
            <w:pPr>
              <w:spacing w:before="40" w:after="40"/>
            </w:pPr>
            <w:r>
              <w:rPr>
                <w:b w:val="0"/>
                <w:i w:val="0"/>
                <w:sz w:val="17"/>
              </w:rPr>
              <w:t>T. Brennan</w:t>
            </w:r>
          </w:p>
        </w:tc>
        <w:tc>
          <w:tcPr>
            <w:tcW w:type="dxa" w:w="2412"/>
          </w:tcPr>
          <w:p>
            <w:pPr>
              <w:spacing w:before="40" w:after="40"/>
            </w:pPr>
            <w:r>
              <w:rPr>
                <w:b w:val="0"/>
                <w:i w:val="0"/>
                <w:sz w:val="17"/>
              </w:rPr>
              <w:t>N. Adeyemi</w:t>
            </w:r>
          </w:p>
        </w:tc>
        <w:tc>
          <w:tcPr>
            <w:tcW w:type="dxa" w:w="2412"/>
          </w:tcPr>
          <w:p>
            <w:pPr>
              <w:spacing w:before="40" w:after="40"/>
            </w:pPr>
            <w:r>
              <w:rPr>
                <w:b w:val="0"/>
                <w:i w:val="0"/>
                <w:sz w:val="17"/>
              </w:rPr>
              <w:t>Reserve methodology and reporting treatment</w:t>
            </w:r>
          </w:p>
        </w:tc>
      </w:tr>
      <w:tr>
        <w:tc>
          <w:tcPr>
            <w:tcW w:type="dxa" w:w="2412"/>
          </w:tcPr>
          <w:p>
            <w:pPr>
              <w:spacing w:before="40" w:after="40"/>
            </w:pPr>
            <w:r>
              <w:rPr>
                <w:b w:val="0"/>
                <w:i w:val="0"/>
                <w:sz w:val="17"/>
              </w:rPr>
              <w:t>Legal &amp; Compliance</w:t>
            </w:r>
          </w:p>
        </w:tc>
        <w:tc>
          <w:tcPr>
            <w:tcW w:type="dxa" w:w="2412"/>
          </w:tcPr>
          <w:p>
            <w:pPr>
              <w:spacing w:before="40" w:after="40"/>
            </w:pPr>
            <w:r>
              <w:rPr>
                <w:b w:val="0"/>
                <w:i w:val="0"/>
                <w:sz w:val="17"/>
              </w:rPr>
              <w:t>A. Nkemelu</w:t>
            </w:r>
          </w:p>
        </w:tc>
        <w:tc>
          <w:tcPr>
            <w:tcW w:type="dxa" w:w="2412"/>
          </w:tcPr>
          <w:p>
            <w:pPr>
              <w:spacing w:before="40" w:after="40"/>
            </w:pPr>
            <w:r>
              <w:rPr>
                <w:b w:val="0"/>
                <w:i w:val="0"/>
                <w:sz w:val="17"/>
              </w:rPr>
              <w:t>B. Lindqvist</w:t>
            </w:r>
          </w:p>
        </w:tc>
        <w:tc>
          <w:tcPr>
            <w:tcW w:type="dxa" w:w="2412"/>
          </w:tcPr>
          <w:p>
            <w:pPr>
              <w:spacing w:before="40" w:after="40"/>
            </w:pPr>
            <w:r>
              <w:rPr>
                <w:b w:val="0"/>
                <w:i w:val="0"/>
                <w:sz w:val="17"/>
              </w:rPr>
              <w:t>Suitability, market conduct, contract language</w:t>
            </w:r>
          </w:p>
        </w:tc>
      </w:tr>
      <w:tr>
        <w:tc>
          <w:tcPr>
            <w:tcW w:type="dxa" w:w="2412"/>
          </w:tcPr>
          <w:p>
            <w:pPr>
              <w:spacing w:before="40" w:after="40"/>
            </w:pPr>
            <w:r>
              <w:rPr>
                <w:b w:val="0"/>
                <w:i w:val="0"/>
                <w:sz w:val="17"/>
              </w:rPr>
              <w:t>Regulatory Filing &amp; Contract Forms</w:t>
            </w:r>
          </w:p>
        </w:tc>
        <w:tc>
          <w:tcPr>
            <w:tcW w:type="dxa" w:w="2412"/>
          </w:tcPr>
          <w:p>
            <w:pPr>
              <w:spacing w:before="40" w:after="40"/>
            </w:pPr>
            <w:r>
              <w:rPr>
                <w:b w:val="0"/>
                <w:i w:val="0"/>
                <w:sz w:val="17"/>
              </w:rPr>
              <w:t>P. Hollingsworth</w:t>
            </w:r>
          </w:p>
        </w:tc>
        <w:tc>
          <w:tcPr>
            <w:tcW w:type="dxa" w:w="2412"/>
          </w:tcPr>
          <w:p>
            <w:pPr>
              <w:spacing w:before="40" w:after="40"/>
            </w:pPr>
            <w:r>
              <w:rPr>
                <w:b w:val="0"/>
                <w:i w:val="0"/>
                <w:sz w:val="17"/>
              </w:rPr>
              <w:t>B. Lindqvist</w:t>
            </w:r>
          </w:p>
        </w:tc>
        <w:tc>
          <w:tcPr>
            <w:tcW w:type="dxa" w:w="2412"/>
          </w:tcPr>
          <w:p>
            <w:pPr>
              <w:spacing w:before="40" w:after="40"/>
            </w:pPr>
            <w:r>
              <w:rPr>
                <w:b w:val="0"/>
                <w:i w:val="0"/>
                <w:sz w:val="17"/>
              </w:rPr>
              <w:t>State filings and the filing calendar</w:t>
            </w:r>
          </w:p>
        </w:tc>
      </w:tr>
      <w:tr>
        <w:tc>
          <w:tcPr>
            <w:tcW w:type="dxa" w:w="2412"/>
          </w:tcPr>
          <w:p>
            <w:pPr>
              <w:spacing w:before="40" w:after="40"/>
            </w:pPr>
            <w:r>
              <w:rPr>
                <w:b w:val="0"/>
                <w:i w:val="0"/>
                <w:sz w:val="17"/>
              </w:rPr>
              <w:t>IT — Annuity Administration Platform</w:t>
            </w:r>
          </w:p>
        </w:tc>
        <w:tc>
          <w:tcPr>
            <w:tcW w:type="dxa" w:w="2412"/>
          </w:tcPr>
          <w:p>
            <w:pPr>
              <w:spacing w:before="40" w:after="40"/>
            </w:pPr>
            <w:r>
              <w:rPr>
                <w:b w:val="0"/>
                <w:i w:val="0"/>
                <w:sz w:val="17"/>
              </w:rPr>
              <w:t>V. Sandoval</w:t>
            </w:r>
          </w:p>
        </w:tc>
        <w:tc>
          <w:tcPr>
            <w:tcW w:type="dxa" w:w="2412"/>
          </w:tcPr>
          <w:p>
            <w:pPr>
              <w:spacing w:before="40" w:after="40"/>
            </w:pPr>
            <w:r>
              <w:rPr>
                <w:b w:val="0"/>
                <w:i w:val="0"/>
                <w:sz w:val="17"/>
              </w:rPr>
              <w:t>G. Marchetti</w:t>
            </w:r>
          </w:p>
        </w:tc>
        <w:tc>
          <w:tcPr>
            <w:tcW w:type="dxa" w:w="2412"/>
          </w:tcPr>
          <w:p>
            <w:pPr>
              <w:spacing w:before="40" w:after="40"/>
            </w:pPr>
            <w:r>
              <w:rPr>
                <w:b w:val="0"/>
                <w:i w:val="0"/>
                <w:sz w:val="17"/>
              </w:rPr>
              <w:t>The largest single build (10 people)</w:t>
            </w:r>
          </w:p>
        </w:tc>
      </w:tr>
      <w:tr>
        <w:tc>
          <w:tcPr>
            <w:tcW w:type="dxa" w:w="2412"/>
          </w:tcPr>
          <w:p>
            <w:pPr>
              <w:spacing w:before="40" w:after="40"/>
            </w:pPr>
            <w:r>
              <w:rPr>
                <w:b w:val="0"/>
                <w:i w:val="0"/>
                <w:sz w:val="17"/>
              </w:rPr>
              <w:t>IT — Illustration &amp; Quoting</w:t>
            </w:r>
          </w:p>
        </w:tc>
        <w:tc>
          <w:tcPr>
            <w:tcW w:type="dxa" w:w="2412"/>
          </w:tcPr>
          <w:p>
            <w:pPr>
              <w:spacing w:before="40" w:after="40"/>
            </w:pPr>
            <w:r>
              <w:rPr>
                <w:b w:val="0"/>
                <w:i w:val="0"/>
                <w:sz w:val="17"/>
              </w:rPr>
              <w:t>E. Kowalczyk</w:t>
            </w:r>
          </w:p>
        </w:tc>
        <w:tc>
          <w:tcPr>
            <w:tcW w:type="dxa" w:w="2412"/>
          </w:tcPr>
          <w:p>
            <w:pPr>
              <w:spacing w:before="40" w:after="40"/>
            </w:pPr>
            <w:r>
              <w:rPr>
                <w:b w:val="0"/>
                <w:i w:val="0"/>
                <w:sz w:val="17"/>
              </w:rPr>
              <w:t>G. Marchetti</w:t>
            </w:r>
          </w:p>
        </w:tc>
        <w:tc>
          <w:tcPr>
            <w:tcW w:type="dxa" w:w="2412"/>
          </w:tcPr>
          <w:p>
            <w:pPr>
              <w:spacing w:before="40" w:after="40"/>
            </w:pPr>
            <w:r>
              <w:rPr>
                <w:b w:val="0"/>
                <w:i w:val="0"/>
                <w:sz w:val="17"/>
              </w:rPr>
              <w:t>Illustration engine and quoting accuracy</w:t>
            </w:r>
          </w:p>
        </w:tc>
      </w:tr>
      <w:tr>
        <w:tc>
          <w:tcPr>
            <w:tcW w:type="dxa" w:w="2412"/>
          </w:tcPr>
          <w:p>
            <w:pPr>
              <w:spacing w:before="40" w:after="40"/>
            </w:pPr>
            <w:r>
              <w:rPr>
                <w:b w:val="0"/>
                <w:i w:val="0"/>
                <w:sz w:val="17"/>
              </w:rPr>
              <w:t>Product Management &amp; Design</w:t>
            </w:r>
          </w:p>
        </w:tc>
        <w:tc>
          <w:tcPr>
            <w:tcW w:type="dxa" w:w="2412"/>
          </w:tcPr>
          <w:p>
            <w:pPr>
              <w:spacing w:before="40" w:after="40"/>
            </w:pPr>
            <w:r>
              <w:rPr>
                <w:b w:val="0"/>
                <w:i w:val="0"/>
                <w:sz w:val="17"/>
              </w:rPr>
              <w:t>D. Falkner</w:t>
            </w:r>
          </w:p>
        </w:tc>
        <w:tc>
          <w:tcPr>
            <w:tcW w:type="dxa" w:w="2412"/>
          </w:tcPr>
          <w:p>
            <w:pPr>
              <w:spacing w:before="40" w:after="40"/>
            </w:pPr>
            <w:r>
              <w:rPr>
                <w:b w:val="0"/>
                <w:i w:val="0"/>
                <w:sz w:val="17"/>
              </w:rPr>
              <w:t>G. Marchetti</w:t>
            </w:r>
          </w:p>
        </w:tc>
        <w:tc>
          <w:tcPr>
            <w:tcW w:type="dxa" w:w="2412"/>
          </w:tcPr>
          <w:p>
            <w:pPr>
              <w:spacing w:before="40" w:after="40"/>
            </w:pPr>
            <w:r>
              <w:rPr>
                <w:b w:val="0"/>
                <w:i w:val="0"/>
                <w:sz w:val="17"/>
              </w:rPr>
              <w:t>Product construct and feature set</w:t>
            </w:r>
          </w:p>
        </w:tc>
      </w:tr>
      <w:tr>
        <w:tc>
          <w:tcPr>
            <w:tcW w:type="dxa" w:w="2412"/>
          </w:tcPr>
          <w:p>
            <w:pPr>
              <w:spacing w:before="40" w:after="40"/>
            </w:pPr>
            <w:r>
              <w:rPr>
                <w:b w:val="0"/>
                <w:i w:val="0"/>
                <w:sz w:val="17"/>
              </w:rPr>
              <w:t>Operations — New Business &amp; Policyholder Services</w:t>
            </w:r>
          </w:p>
        </w:tc>
        <w:tc>
          <w:tcPr>
            <w:tcW w:type="dxa" w:w="2412"/>
          </w:tcPr>
          <w:p>
            <w:pPr>
              <w:spacing w:before="40" w:after="40"/>
            </w:pPr>
            <w:r>
              <w:rPr>
                <w:b w:val="0"/>
                <w:i w:val="0"/>
                <w:sz w:val="17"/>
              </w:rPr>
              <w:t>L. Marchand</w:t>
            </w:r>
          </w:p>
        </w:tc>
        <w:tc>
          <w:tcPr>
            <w:tcW w:type="dxa" w:w="2412"/>
          </w:tcPr>
          <w:p>
            <w:pPr>
              <w:spacing w:before="40" w:after="40"/>
            </w:pPr>
            <w:r>
              <w:rPr>
                <w:b w:val="0"/>
                <w:i w:val="0"/>
                <w:sz w:val="17"/>
              </w:rPr>
              <w:t>G. Marchetti</w:t>
            </w:r>
          </w:p>
        </w:tc>
        <w:tc>
          <w:tcPr>
            <w:tcW w:type="dxa" w:w="2412"/>
          </w:tcPr>
          <w:p>
            <w:pPr>
              <w:spacing w:before="40" w:after="40"/>
            </w:pPr>
            <w:r>
              <w:rPr>
                <w:b w:val="0"/>
                <w:i w:val="0"/>
                <w:sz w:val="17"/>
              </w:rPr>
              <w:t>Issue, service, and the operational readiness case</w:t>
            </w:r>
          </w:p>
        </w:tc>
      </w:tr>
      <w:tr>
        <w:tc>
          <w:tcPr>
            <w:tcW w:type="dxa" w:w="2412"/>
          </w:tcPr>
          <w:p>
            <w:pPr>
              <w:spacing w:before="40" w:after="40"/>
            </w:pPr>
            <w:r>
              <w:rPr>
                <w:b w:val="0"/>
                <w:i w:val="0"/>
                <w:sz w:val="17"/>
              </w:rPr>
              <w:t>Investments — ALM &amp; Hedging</w:t>
            </w:r>
          </w:p>
        </w:tc>
        <w:tc>
          <w:tcPr>
            <w:tcW w:type="dxa" w:w="2412"/>
          </w:tcPr>
          <w:p>
            <w:pPr>
              <w:spacing w:before="40" w:after="40"/>
            </w:pPr>
            <w:r>
              <w:rPr>
                <w:b w:val="0"/>
                <w:i w:val="0"/>
                <w:sz w:val="17"/>
              </w:rPr>
              <w:t>M. Delacroix</w:t>
            </w:r>
          </w:p>
        </w:tc>
        <w:tc>
          <w:tcPr>
            <w:tcW w:type="dxa" w:w="2412"/>
          </w:tcPr>
          <w:p>
            <w:pPr>
              <w:spacing w:before="40" w:after="40"/>
            </w:pPr>
            <w:r>
              <w:rPr>
                <w:b w:val="0"/>
                <w:i w:val="0"/>
                <w:sz w:val="17"/>
              </w:rPr>
              <w:t>J. Whitmore</w:t>
            </w:r>
          </w:p>
        </w:tc>
        <w:tc>
          <w:tcPr>
            <w:tcW w:type="dxa" w:w="2412"/>
          </w:tcPr>
          <w:p>
            <w:pPr>
              <w:spacing w:before="40" w:after="40"/>
            </w:pPr>
            <w:r>
              <w:rPr>
                <w:b w:val="0"/>
                <w:i w:val="0"/>
                <w:sz w:val="17"/>
              </w:rPr>
              <w:t>Hedging strategy and asset-liability fit</w:t>
            </w:r>
          </w:p>
        </w:tc>
      </w:tr>
      <w:tr>
        <w:tc>
          <w:tcPr>
            <w:tcW w:type="dxa" w:w="2412"/>
          </w:tcPr>
          <w:p>
            <w:pPr>
              <w:spacing w:before="40" w:after="40"/>
            </w:pPr>
            <w:r>
              <w:rPr>
                <w:b w:val="0"/>
                <w:i w:val="0"/>
                <w:sz w:val="17"/>
              </w:rPr>
              <w:t>Data, Reporting &amp; Analytics</w:t>
            </w:r>
          </w:p>
        </w:tc>
        <w:tc>
          <w:tcPr>
            <w:tcW w:type="dxa" w:w="2412"/>
          </w:tcPr>
          <w:p>
            <w:pPr>
              <w:spacing w:before="40" w:after="40"/>
            </w:pPr>
            <w:r>
              <w:rPr>
                <w:b w:val="0"/>
                <w:i w:val="0"/>
                <w:sz w:val="17"/>
              </w:rPr>
              <w:t>F. Osunde</w:t>
            </w:r>
          </w:p>
        </w:tc>
        <w:tc>
          <w:tcPr>
            <w:tcW w:type="dxa" w:w="2412"/>
          </w:tcPr>
          <w:p>
            <w:pPr>
              <w:spacing w:before="40" w:after="40"/>
            </w:pPr>
            <w:r>
              <w:rPr>
                <w:b w:val="0"/>
                <w:i w:val="0"/>
                <w:sz w:val="17"/>
              </w:rPr>
              <w:t>J. Whitmore</w:t>
            </w:r>
          </w:p>
        </w:tc>
        <w:tc>
          <w:tcPr>
            <w:tcW w:type="dxa" w:w="2412"/>
          </w:tcPr>
          <w:p>
            <w:pPr>
              <w:spacing w:before="40" w:after="40"/>
            </w:pPr>
            <w:r>
              <w:rPr>
                <w:b w:val="0"/>
                <w:i w:val="0"/>
                <w:sz w:val="17"/>
              </w:rPr>
              <w:t>Reporting infrastructure</w:t>
            </w:r>
          </w:p>
        </w:tc>
      </w:tr>
      <w:tr>
        <w:tc>
          <w:tcPr>
            <w:tcW w:type="dxa" w:w="2412"/>
          </w:tcPr>
          <w:p>
            <w:pPr>
              <w:spacing w:before="40" w:after="40"/>
            </w:pPr>
            <w:r>
              <w:rPr>
                <w:b w:val="0"/>
                <w:i w:val="0"/>
                <w:sz w:val="17"/>
              </w:rPr>
              <w:t>Distribution &amp; Wholesaling</w:t>
            </w:r>
          </w:p>
        </w:tc>
        <w:tc>
          <w:tcPr>
            <w:tcW w:type="dxa" w:w="2412"/>
          </w:tcPr>
          <w:p>
            <w:pPr>
              <w:spacing w:before="40" w:after="40"/>
            </w:pPr>
            <w:r>
              <w:rPr>
                <w:b w:val="0"/>
                <w:i w:val="0"/>
                <w:sz w:val="17"/>
              </w:rPr>
              <w:t>H. Kirkpatrick</w:t>
            </w:r>
          </w:p>
        </w:tc>
        <w:tc>
          <w:tcPr>
            <w:tcW w:type="dxa" w:w="2412"/>
          </w:tcPr>
          <w:p>
            <w:pPr>
              <w:spacing w:before="40" w:after="40"/>
            </w:pPr>
            <w:r>
              <w:rPr>
                <w:b w:val="0"/>
                <w:i w:val="0"/>
                <w:sz w:val="17"/>
              </w:rPr>
              <w:t>R. Castellanos</w:t>
            </w:r>
          </w:p>
        </w:tc>
        <w:tc>
          <w:tcPr>
            <w:tcW w:type="dxa" w:w="2412"/>
          </w:tcPr>
          <w:p>
            <w:pPr>
              <w:spacing w:before="40" w:after="40"/>
            </w:pPr>
            <w:r>
              <w:rPr>
                <w:b w:val="0"/>
                <w:i w:val="0"/>
                <w:sz w:val="17"/>
              </w:rPr>
              <w:t>Channel readiness and wholesaler enablement</w:t>
            </w:r>
          </w:p>
        </w:tc>
      </w:tr>
      <w:tr>
        <w:tc>
          <w:tcPr>
            <w:tcW w:type="dxa" w:w="2412"/>
          </w:tcPr>
          <w:p>
            <w:pPr>
              <w:spacing w:before="40" w:after="40"/>
            </w:pPr>
            <w:r>
              <w:rPr>
                <w:b w:val="0"/>
                <w:i w:val="0"/>
                <w:sz w:val="17"/>
              </w:rPr>
              <w:t>Product Development PMO</w:t>
            </w:r>
          </w:p>
        </w:tc>
        <w:tc>
          <w:tcPr>
            <w:tcW w:type="dxa" w:w="2412"/>
          </w:tcPr>
          <w:p>
            <w:pPr>
              <w:spacing w:before="40" w:after="40"/>
            </w:pPr>
            <w:r>
              <w:rPr>
                <w:b w:val="0"/>
                <w:i w:val="0"/>
                <w:sz w:val="17"/>
              </w:rPr>
              <w:t>K. Iyer</w:t>
            </w:r>
          </w:p>
        </w:tc>
        <w:tc>
          <w:tcPr>
            <w:tcW w:type="dxa" w:w="2412"/>
          </w:tcPr>
          <w:p>
            <w:pPr>
              <w:spacing w:before="40" w:after="40"/>
            </w:pPr>
            <w:r>
              <w:rPr>
                <w:b/>
                <w:i w:val="0"/>
                <w:sz w:val="17"/>
              </w:rPr>
              <w:t>C. Tyrrell (Chair)</w:t>
            </w:r>
          </w:p>
        </w:tc>
        <w:tc>
          <w:tcPr>
            <w:tcW w:type="dxa" w:w="2412"/>
          </w:tcPr>
          <w:p>
            <w:pPr>
              <w:spacing w:before="40" w:after="40"/>
            </w:pPr>
            <w:r>
              <w:rPr>
                <w:b w:val="0"/>
                <w:i w:val="0"/>
                <w:sz w:val="17"/>
              </w:rPr>
              <w:t>Plan, evidence assembly, gate logistics</w:t>
            </w:r>
          </w:p>
        </w:tc>
      </w:tr>
    </w:tbl>
    <w:p/>
    <w:p>
      <w:pPr>
        <w:spacing w:before="280" w:after="80"/>
      </w:pPr>
      <w:r>
        <w:rPr>
          <w:b/>
          <w:i w:val="0"/>
          <w:color w:val="14352A"/>
          <w:sz w:val="28"/>
        </w:rPr>
        <w:t>5. The Two Refusals — Recycle and Cancel</w:t>
      </w:r>
    </w:p>
    <w:p>
      <w:pPr>
        <w:spacing w:after="120"/>
      </w:pPr>
      <w:r>
        <w:rPr>
          <w:b w:val="0"/>
          <w:i w:val="0"/>
          <w:sz w:val="20"/>
        </w:rPr>
        <w:t xml:space="preserve">Most governance models have one way to say no. This one has two, and the distinction is the most useful idea in the suite. ⚠ </w:t>
      </w:r>
      <w:r>
        <w:rPr>
          <w:b/>
          <w:i w:val="0"/>
          <w:sz w:val="20"/>
        </w:rPr>
        <w:t>A recycle returns the package without deciding the product.</w:t>
      </w:r>
      <w:r>
        <w:rPr>
          <w:b w:val="0"/>
          <w:i w:val="0"/>
          <w:sz w:val="20"/>
        </w:rPr>
        <w:t xml:space="preserve"> It exists so the Board is never forced into a false choice between approving something unproven and canceling something that may be sound — the two failure modes a single-outcome gate produces.</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p>
        </w:tc>
        <w:tc>
          <w:tcPr>
            <w:tcW w:type="dxa" w:w="3216"/>
            <w:shd w:val="clear" w:fill="14352A"/>
          </w:tcPr>
          <w:p>
            <w:pPr>
              <w:spacing w:before="40" w:after="40"/>
            </w:pPr>
            <w:r>
              <w:rPr>
                <w:b/>
                <w:i w:val="0"/>
                <w:color w:val="FFFFFF"/>
                <w:sz w:val="17"/>
              </w:rPr>
              <w:t>Recycle</w:t>
            </w:r>
          </w:p>
        </w:tc>
        <w:tc>
          <w:tcPr>
            <w:tcW w:type="dxa" w:w="3216"/>
            <w:shd w:val="clear" w:fill="14352A"/>
          </w:tcPr>
          <w:p>
            <w:pPr>
              <w:spacing w:before="40" w:after="40"/>
            </w:pPr>
            <w:r>
              <w:rPr>
                <w:b/>
                <w:i w:val="0"/>
                <w:color w:val="FFFFFF"/>
                <w:sz w:val="17"/>
              </w:rPr>
              <w:t>Cancel</w:t>
            </w:r>
          </w:p>
        </w:tc>
      </w:tr>
      <w:tr>
        <w:tc>
          <w:tcPr>
            <w:tcW w:type="dxa" w:w="3216"/>
          </w:tcPr>
          <w:p>
            <w:pPr>
              <w:spacing w:before="40" w:after="40"/>
            </w:pPr>
            <w:r>
              <w:rPr>
                <w:b/>
                <w:i w:val="0"/>
                <w:sz w:val="17"/>
              </w:rPr>
              <w:t>What it decides</w:t>
            </w:r>
          </w:p>
        </w:tc>
        <w:tc>
          <w:tcPr>
            <w:tcW w:type="dxa" w:w="3216"/>
          </w:tcPr>
          <w:p>
            <w:pPr>
              <w:spacing w:before="40" w:after="40"/>
            </w:pPr>
            <w:r>
              <w:rPr>
                <w:b w:val="0"/>
                <w:i w:val="0"/>
                <w:sz w:val="17"/>
              </w:rPr>
              <w:t>Nothing about the product. Only that the evidence is not yet decidable.</w:t>
            </w:r>
          </w:p>
        </w:tc>
        <w:tc>
          <w:tcPr>
            <w:tcW w:type="dxa" w:w="3216"/>
          </w:tcPr>
          <w:p>
            <w:pPr>
              <w:spacing w:before="40" w:after="40"/>
            </w:pPr>
            <w:r>
              <w:rPr>
                <w:b w:val="0"/>
                <w:i w:val="0"/>
                <w:sz w:val="17"/>
              </w:rPr>
              <w:t>The program ends.</w:t>
            </w:r>
          </w:p>
        </w:tc>
      </w:tr>
      <w:tr>
        <w:tc>
          <w:tcPr>
            <w:tcW w:type="dxa" w:w="3216"/>
          </w:tcPr>
          <w:p>
            <w:pPr>
              <w:spacing w:before="40" w:after="40"/>
            </w:pPr>
            <w:r>
              <w:rPr>
                <w:b/>
                <w:i w:val="0"/>
                <w:sz w:val="17"/>
              </w:rPr>
              <w:t>Who tables it</w:t>
            </w:r>
          </w:p>
        </w:tc>
        <w:tc>
          <w:tcPr>
            <w:tcW w:type="dxa" w:w="3216"/>
          </w:tcPr>
          <w:p>
            <w:pPr>
              <w:spacing w:before="40" w:after="40"/>
            </w:pPr>
            <w:r>
              <w:rPr>
                <w:b/>
                <w:i w:val="0"/>
                <w:sz w:val="17"/>
              </w:rPr>
              <w:t>The Chair</w:t>
            </w:r>
            <w:r>
              <w:rPr>
                <w:b w:val="0"/>
                <w:i w:val="0"/>
                <w:sz w:val="17"/>
              </w:rPr>
              <w:t xml:space="preserve"> — who has no vote</w:t>
            </w:r>
          </w:p>
        </w:tc>
        <w:tc>
          <w:tcPr>
            <w:tcW w:type="dxa" w:w="3216"/>
          </w:tcPr>
          <w:p>
            <w:pPr>
              <w:spacing w:before="40" w:after="40"/>
            </w:pPr>
            <w:r>
              <w:rPr>
                <w:b w:val="0"/>
                <w:i w:val="0"/>
                <w:sz w:val="17"/>
              </w:rPr>
              <w:t>Any voting member; available at every gate</w:t>
            </w:r>
          </w:p>
        </w:tc>
      </w:tr>
      <w:tr>
        <w:tc>
          <w:tcPr>
            <w:tcW w:type="dxa" w:w="3216"/>
          </w:tcPr>
          <w:p>
            <w:pPr>
              <w:spacing w:before="40" w:after="40"/>
            </w:pPr>
            <w:r>
              <w:rPr>
                <w:b/>
                <w:i w:val="0"/>
                <w:sz w:val="17"/>
              </w:rPr>
              <w:t>What the Board must record</w:t>
            </w:r>
          </w:p>
        </w:tc>
        <w:tc>
          <w:tcPr>
            <w:tcW w:type="dxa" w:w="3216"/>
          </w:tcPr>
          <w:p>
            <w:pPr>
              <w:spacing w:before="40" w:after="40"/>
            </w:pPr>
            <w:r>
              <w:rPr>
                <w:b w:val="0"/>
                <w:i w:val="0"/>
                <w:sz w:val="17"/>
              </w:rPr>
              <w:t xml:space="preserve">The </w:t>
            </w:r>
            <w:r>
              <w:rPr>
                <w:b/>
                <w:i w:val="0"/>
                <w:sz w:val="17"/>
              </w:rPr>
              <w:t>specific deficiencies</w:t>
            </w:r>
            <w:r>
              <w:rPr>
                <w:b w:val="0"/>
                <w:i w:val="0"/>
                <w:sz w:val="17"/>
              </w:rPr>
              <w:t xml:space="preserve"> and the </w:t>
            </w:r>
            <w:r>
              <w:rPr>
                <w:b/>
                <w:i w:val="0"/>
                <w:sz w:val="17"/>
              </w:rPr>
              <w:t>date the package returns</w:t>
            </w:r>
          </w:p>
        </w:tc>
        <w:tc>
          <w:tcPr>
            <w:tcW w:type="dxa" w:w="3216"/>
          </w:tcPr>
          <w:p>
            <w:pPr>
              <w:spacing w:before="40" w:after="40"/>
            </w:pPr>
            <w:r>
              <w:rPr>
                <w:b w:val="0"/>
                <w:i w:val="0"/>
                <w:sz w:val="17"/>
              </w:rPr>
              <w:t>Final accounting within 20 business days to the CFO and Executive Committee</w:t>
            </w:r>
          </w:p>
        </w:tc>
      </w:tr>
      <w:tr>
        <w:tc>
          <w:tcPr>
            <w:tcW w:type="dxa" w:w="3216"/>
          </w:tcPr>
          <w:p>
            <w:pPr>
              <w:spacing w:before="40" w:after="40"/>
            </w:pPr>
            <w:r>
              <w:rPr>
                <w:b/>
                <w:i w:val="0"/>
                <w:sz w:val="17"/>
              </w:rPr>
              <w:t>Money</w:t>
            </w:r>
          </w:p>
        </w:tc>
        <w:tc>
          <w:tcPr>
            <w:tcW w:type="dxa" w:w="3216"/>
          </w:tcPr>
          <w:p>
            <w:pPr>
              <w:spacing w:before="40" w:after="40"/>
            </w:pPr>
            <w:r>
              <w:rPr>
                <w:b w:val="0"/>
                <w:i w:val="0"/>
                <w:sz w:val="17"/>
              </w:rPr>
              <w:t xml:space="preserve">Stage tranche </w:t>
            </w:r>
            <w:r>
              <w:rPr>
                <w:b/>
                <w:i w:val="0"/>
                <w:sz w:val="17"/>
              </w:rPr>
              <w:t>not</w:t>
            </w:r>
            <w:r>
              <w:rPr>
                <w:b w:val="0"/>
                <w:i w:val="0"/>
                <w:sz w:val="17"/>
              </w:rPr>
              <w:t xml:space="preserve"> released; the program draws only on current funding. Any overrun from the loop is a contingency draw </w:t>
            </w:r>
            <w:r>
              <w:rPr>
                <w:b/>
                <w:i w:val="0"/>
                <w:sz w:val="17"/>
              </w:rPr>
              <w:t>requiring Board authorization</w:t>
            </w:r>
            <w:r>
              <w:rPr>
                <w:b w:val="0"/>
                <w:i w:val="0"/>
                <w:sz w:val="17"/>
              </w:rPr>
              <w:t>.</w:t>
            </w:r>
          </w:p>
        </w:tc>
        <w:tc>
          <w:tcPr>
            <w:tcW w:type="dxa" w:w="3216"/>
          </w:tcPr>
          <w:p>
            <w:pPr>
              <w:spacing w:before="40" w:after="40"/>
            </w:pPr>
            <w:r>
              <w:rPr>
                <w:b w:val="0"/>
                <w:i w:val="0"/>
                <w:sz w:val="17"/>
              </w:rPr>
              <w:t>Funding stops immediately; unreleased tranches canceled; unspent funds returned to the capital pool</w:t>
            </w:r>
          </w:p>
        </w:tc>
      </w:tr>
      <w:tr>
        <w:tc>
          <w:tcPr>
            <w:tcW w:type="dxa" w:w="3216"/>
          </w:tcPr>
          <w:p>
            <w:pPr>
              <w:spacing w:before="40" w:after="40"/>
            </w:pPr>
            <w:r>
              <w:rPr>
                <w:b/>
                <w:i w:val="0"/>
                <w:sz w:val="17"/>
              </w:rPr>
              <w:t>People</w:t>
            </w:r>
          </w:p>
        </w:tc>
        <w:tc>
          <w:tcPr>
            <w:tcW w:type="dxa" w:w="3216"/>
          </w:tcPr>
          <w:p>
            <w:pPr>
              <w:spacing w:before="40" w:after="40"/>
            </w:pPr>
            <w:r>
              <w:rPr>
                <w:b w:val="0"/>
                <w:i w:val="0"/>
                <w:sz w:val="17"/>
              </w:rPr>
              <w:t>Team continues</w:t>
            </w:r>
          </w:p>
        </w:tc>
        <w:tc>
          <w:tcPr>
            <w:tcW w:type="dxa" w:w="3216"/>
          </w:tcPr>
          <w:p>
            <w:pPr>
              <w:spacing w:before="40" w:after="40"/>
            </w:pPr>
            <w:r>
              <w:rPr>
                <w:b w:val="0"/>
                <w:i w:val="0"/>
                <w:sz w:val="17"/>
              </w:rPr>
              <w:t>Released on a stated date, reassignment through the functional line</w:t>
            </w:r>
          </w:p>
        </w:tc>
      </w:tr>
      <w:tr>
        <w:tc>
          <w:tcPr>
            <w:tcW w:type="dxa" w:w="3216"/>
          </w:tcPr>
          <w:p>
            <w:pPr>
              <w:spacing w:before="40" w:after="40"/>
            </w:pPr>
            <w:r>
              <w:rPr>
                <w:b/>
                <w:i w:val="0"/>
                <w:sz w:val="17"/>
              </w:rPr>
              <w:t>Vendors</w:t>
            </w:r>
          </w:p>
        </w:tc>
        <w:tc>
          <w:tcPr>
            <w:tcW w:type="dxa" w:w="3216"/>
          </w:tcPr>
          <w:p>
            <w:pPr>
              <w:spacing w:before="40" w:after="40"/>
            </w:pPr>
            <w:r>
              <w:rPr>
                <w:b w:val="0"/>
                <w:i w:val="0"/>
                <w:sz w:val="17"/>
              </w:rPr>
              <w:t>Unaffected</w:t>
            </w:r>
          </w:p>
        </w:tc>
        <w:tc>
          <w:tcPr>
            <w:tcW w:type="dxa" w:w="3216"/>
          </w:tcPr>
          <w:p>
            <w:pPr>
              <w:spacing w:before="40" w:after="40"/>
            </w:pPr>
            <w:r>
              <w:rPr>
                <w:b w:val="0"/>
                <w:i w:val="0"/>
                <w:sz w:val="17"/>
              </w:rPr>
              <w:t xml:space="preserve">Committed obligations are </w:t>
            </w:r>
            <w:r>
              <w:rPr>
                <w:b/>
                <w:i w:val="0"/>
                <w:sz w:val="17"/>
              </w:rPr>
              <w:t>settled, not abandoned</w:t>
            </w:r>
            <w:r>
              <w:rPr>
                <w:b w:val="0"/>
                <w:i w:val="0"/>
                <w:sz w:val="17"/>
              </w:rPr>
              <w:t xml:space="preserve"> — termination-for-convenience exercised under the Vendor Management Plan</w:t>
            </w:r>
          </w:p>
        </w:tc>
      </w:tr>
    </w:tbl>
    <w:p/>
    <w:p>
      <w:pPr>
        <w:spacing w:after="120"/>
      </w:pPr>
      <w:r>
        <w:rPr>
          <w:b w:val="0"/>
          <w:i w:val="0"/>
          <w:sz w:val="20"/>
        </w:rPr>
        <w:t xml:space="preserve">⚠⚠ </w:t>
      </w:r>
      <w:r>
        <w:rPr>
          <w:b/>
          <w:i w:val="0"/>
          <w:sz w:val="20"/>
        </w:rPr>
        <w:t>Note who holds which lever.</w:t>
      </w:r>
      <w:r>
        <w:rPr>
          <w:b w:val="0"/>
          <w:i w:val="0"/>
          <w:sz w:val="20"/>
        </w:rPr>
        <w:t xml:space="preserve"> The Chair cannot vote on a gate outcome, but </w:t>
      </w:r>
      <w:r>
        <w:rPr>
          <w:b/>
          <w:i w:val="0"/>
          <w:sz w:val="20"/>
        </w:rPr>
        <w:t>he is the one who tables a recycle recommendation</w:t>
      </w:r>
      <w:r>
        <w:rPr>
          <w:b w:val="0"/>
          <w:i w:val="0"/>
          <w:sz w:val="20"/>
        </w:rPr>
        <w:t xml:space="preserve"> — and </w:t>
      </w:r>
      <w:r>
        <w:rPr>
          <w:b/>
          <w:i w:val="0"/>
          <w:sz w:val="20"/>
        </w:rPr>
        <w:t>cancellation is available between gates on a Chair-convened extraordinary session.</w:t>
      </w:r>
      <w:r>
        <w:rPr>
          <w:b w:val="0"/>
          <w:i w:val="0"/>
          <w:sz w:val="20"/>
        </w:rPr>
        <w:t xml:space="preserve"> ***The person with no vote is the person who can call the meeting at which the program dies.*** That is not a contradiction. Facilitation authority and decision authority are different things, and this design separates them deliberately: he can force the question in front of the people entitled to answer it, and he cannot answer it himself.</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Why the recycle wording matters.</w:t>
            </w:r>
            <w:r>
              <w:rPr>
                <w:b w:val="0"/>
                <w:i w:val="0"/>
                <w:sz w:val="20"/>
              </w:rPr>
              <w:t xml:space="preserve"> The Board must state deficiencies </w:t>
            </w:r>
            <w:r>
              <w:rPr>
                <w:b w:val="0"/>
                <w:i/>
                <w:sz w:val="20"/>
              </w:rPr>
              <w:t>and</w:t>
            </w:r>
            <w:r>
              <w:rPr>
                <w:b w:val="0"/>
                <w:i w:val="0"/>
                <w:sz w:val="20"/>
              </w:rPr>
              <w:t xml:space="preserve"> a return date. ⚠ </w:t>
            </w:r>
            <w:r>
              <w:rPr>
                <w:b/>
                <w:i w:val="0"/>
                <w:sz w:val="20"/>
              </w:rPr>
              <w:t>A recycle without a stated remedy is a deferral wearing a governance label</w:t>
            </w:r>
            <w:r>
              <w:rPr>
                <w:b w:val="0"/>
                <w:i w:val="0"/>
                <w:sz w:val="20"/>
              </w:rPr>
              <w:t xml:space="preserve"> — it stops the clock without obliging anyone to do anything, and the program drifts while continuing to consume capacity. ***Requiring both halves in the minute is what makes a recycle a decision rather than an absence of one.***</w:t>
            </w:r>
          </w:p>
        </w:tc>
      </w:tr>
    </w:tbl>
    <w:p/>
    <w:p>
      <w:pPr>
        <w:spacing w:before="280" w:after="80"/>
      </w:pPr>
      <w:r>
        <w:rPr>
          <w:b/>
          <w:i w:val="0"/>
          <w:color w:val="14352A"/>
          <w:sz w:val="28"/>
        </w:rPr>
        <w:t>6. What the Program Cannot Decide</w:t>
      </w:r>
    </w:p>
    <w:p>
      <w:pPr>
        <w:spacing w:after="120"/>
      </w:pPr>
      <w:r>
        <w:rPr>
          <w:b/>
          <w:i w:val="0"/>
          <w:sz w:val="20"/>
        </w:rPr>
        <w:t>Pricing and reserve adequacy.</w:t>
      </w:r>
      <w:r>
        <w:rPr>
          <w:b w:val="0"/>
          <w:i w:val="0"/>
          <w:sz w:val="20"/>
        </w:rPr>
        <w:t xml:space="preserve"> The Chief Actuary's judgment on assumption integrity is not a program input to be balanced against launch date. An assumption the actuary will not sign is not a schedule problem.</w:t>
      </w:r>
    </w:p>
    <w:p>
      <w:pPr>
        <w:spacing w:after="120"/>
      </w:pPr>
      <w:r>
        <w:rPr>
          <w:b/>
          <w:i w:val="0"/>
          <w:sz w:val="20"/>
        </w:rPr>
        <w:t>Filing and suitability.</w:t>
      </w:r>
      <w:r>
        <w:rPr>
          <w:b w:val="0"/>
          <w:i w:val="0"/>
          <w:sz w:val="20"/>
        </w:rPr>
        <w:t xml:space="preserve"> A product that cannot be filed cannot be sold, and no amount of program pressure changes a state's requirements.</w:t>
      </w:r>
    </w:p>
    <w:p>
      <w:pPr>
        <w:spacing w:after="120"/>
      </w:pPr>
      <w:r>
        <w:rPr>
          <w:b/>
          <w:i w:val="0"/>
          <w:sz w:val="20"/>
        </w:rPr>
        <w:t>Funding release.</w:t>
      </w:r>
      <w:r>
        <w:rPr>
          <w:b w:val="0"/>
          <w:i w:val="0"/>
          <w:sz w:val="20"/>
        </w:rPr>
        <w:t xml:space="preserve"> Money is released one tranche at a time by the CFO at gates. The program does not draw ahead of a gate, which is the mechanism that makes cancellation genuinely possible rather than theoretically possible.</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The test used across this portfolio:</w:t>
            </w:r>
            <w:r>
              <w:rPr>
                <w:b w:val="0"/>
                <w:i w:val="0"/>
                <w:sz w:val="20"/>
              </w:rPr>
              <w:t xml:space="preserve"> if the program can change the answer by asking harder, it was never an independent authority. ⚠ Here the point is sharper than usual: </w:t>
            </w:r>
            <w:r>
              <w:rPr>
                <w:b/>
                <w:i w:val="0"/>
                <w:sz w:val="20"/>
              </w:rPr>
              <w:t>the program manager is in the room for all of these decisions and has no vote on any of them.</w:t>
            </w:r>
            <w:r>
              <w:rPr>
                <w:b w:val="0"/>
                <w:i w:val="0"/>
                <w:sz w:val="20"/>
              </w:rPr>
              <w:t xml:space="preserve"> ***Proximity without authority is the whole design, not an accident of seniority.***</w:t>
            </w:r>
          </w:p>
        </w:tc>
      </w:tr>
    </w:tbl>
    <w:p/>
    <w:p>
      <w:pPr>
        <w:spacing w:before="280" w:after="80"/>
      </w:pPr>
      <w:r>
        <w:rPr>
          <w:b/>
          <w:i w:val="0"/>
          <w:color w:val="14352A"/>
          <w:sz w:val="28"/>
        </w:rPr>
        <w:t>7. How This Compares To the Other Programs Here</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14352A"/>
          </w:tcPr>
          <w:p>
            <w:pPr>
              <w:spacing w:before="40" w:after="40"/>
            </w:pPr>
            <w:r>
              <w:rPr>
                <w:b/>
                <w:i w:val="0"/>
                <w:color w:val="FFFFFF"/>
                <w:sz w:val="17"/>
              </w:rPr>
              <w:t>Question</w:t>
            </w:r>
          </w:p>
        </w:tc>
        <w:tc>
          <w:tcPr>
            <w:tcW w:type="dxa" w:w="2412"/>
            <w:shd w:val="clear" w:fill="14352A"/>
          </w:tcPr>
          <w:p>
            <w:pPr>
              <w:spacing w:before="40" w:after="40"/>
            </w:pPr>
            <w:r>
              <w:rPr>
                <w:b/>
                <w:i w:val="0"/>
                <w:color w:val="FFFFFF"/>
                <w:sz w:val="17"/>
              </w:rPr>
              <w:t>Lighthouse (this suite)</w:t>
            </w:r>
          </w:p>
        </w:tc>
        <w:tc>
          <w:tcPr>
            <w:tcW w:type="dxa" w:w="2412"/>
            <w:shd w:val="clear" w:fill="14352A"/>
          </w:tcPr>
          <w:p>
            <w:pPr>
              <w:spacing w:before="40" w:after="40"/>
            </w:pPr>
            <w:r>
              <w:rPr>
                <w:b/>
                <w:i w:val="0"/>
                <w:color w:val="FFFFFF"/>
                <w:sz w:val="17"/>
              </w:rPr>
              <w:t>Catalyst (AI)</w:t>
            </w:r>
          </w:p>
        </w:tc>
        <w:tc>
          <w:tcPr>
            <w:tcW w:type="dxa" w:w="2412"/>
            <w:shd w:val="clear" w:fill="14352A"/>
          </w:tcPr>
          <w:p>
            <w:pPr>
              <w:spacing w:before="40" w:after="40"/>
            </w:pPr>
            <w:r>
              <w:rPr>
                <w:b/>
                <w:i w:val="0"/>
                <w:color w:val="FFFFFF"/>
                <w:sz w:val="17"/>
              </w:rPr>
              <w:t>PM / Agile</w:t>
            </w:r>
          </w:p>
        </w:tc>
      </w:tr>
      <w:tr>
        <w:tc>
          <w:tcPr>
            <w:tcW w:type="dxa" w:w="2412"/>
          </w:tcPr>
          <w:p>
            <w:pPr>
              <w:spacing w:before="40" w:after="40"/>
            </w:pPr>
            <w:r>
              <w:rPr>
                <w:b w:val="0"/>
                <w:i w:val="0"/>
                <w:sz w:val="17"/>
              </w:rPr>
              <w:t>Where does the PM sit?</w:t>
            </w:r>
          </w:p>
        </w:tc>
        <w:tc>
          <w:tcPr>
            <w:tcW w:type="dxa" w:w="2412"/>
          </w:tcPr>
          <w:p>
            <w:pPr>
              <w:spacing w:before="40" w:after="40"/>
            </w:pPr>
            <w:r>
              <w:rPr>
                <w:b/>
                <w:i w:val="0"/>
                <w:sz w:val="17"/>
              </w:rPr>
              <w:t>Chairs the board, no vote</w:t>
            </w:r>
          </w:p>
        </w:tc>
        <w:tc>
          <w:tcPr>
            <w:tcW w:type="dxa" w:w="2412"/>
          </w:tcPr>
          <w:p>
            <w:pPr>
              <w:spacing w:before="40" w:after="40"/>
            </w:pPr>
            <w:r>
              <w:rPr>
                <w:b/>
                <w:i w:val="0"/>
                <w:sz w:val="17"/>
              </w:rPr>
              <w:t>Not on any board</w:t>
            </w:r>
          </w:p>
        </w:tc>
        <w:tc>
          <w:tcPr>
            <w:tcW w:type="dxa" w:w="2412"/>
          </w:tcPr>
          <w:p>
            <w:pPr>
              <w:spacing w:before="40" w:after="40"/>
            </w:pPr>
            <w:r>
              <w:rPr>
                <w:b w:val="0"/>
                <w:i w:val="0"/>
                <w:sz w:val="17"/>
              </w:rPr>
              <w:t>Chairs, and decides</w:t>
            </w:r>
          </w:p>
        </w:tc>
      </w:tr>
      <w:tr>
        <w:tc>
          <w:tcPr>
            <w:tcW w:type="dxa" w:w="2412"/>
          </w:tcPr>
          <w:p>
            <w:pPr>
              <w:spacing w:before="40" w:after="40"/>
            </w:pPr>
            <w:r>
              <w:rPr>
                <w:b w:val="0"/>
                <w:i w:val="0"/>
                <w:sz w:val="17"/>
              </w:rPr>
              <w:t>Who can stop it?</w:t>
            </w:r>
          </w:p>
        </w:tc>
        <w:tc>
          <w:tcPr>
            <w:tcW w:type="dxa" w:w="2412"/>
          </w:tcPr>
          <w:p>
            <w:pPr>
              <w:spacing w:before="40" w:after="40"/>
            </w:pPr>
            <w:r>
              <w:rPr>
                <w:b w:val="0"/>
                <w:i w:val="0"/>
                <w:sz w:val="17"/>
              </w:rPr>
              <w:t>Chief Actuary, GC/CCO, CFO — each alone</w:t>
            </w:r>
          </w:p>
        </w:tc>
        <w:tc>
          <w:tcPr>
            <w:tcW w:type="dxa" w:w="2412"/>
          </w:tcPr>
          <w:p>
            <w:pPr>
              <w:spacing w:before="40" w:after="40"/>
            </w:pPr>
            <w:r>
              <w:rPr>
                <w:b w:val="0"/>
                <w:i w:val="0"/>
                <w:sz w:val="17"/>
              </w:rPr>
              <w:t>Independent Model Validation, unappealably</w:t>
            </w:r>
          </w:p>
        </w:tc>
        <w:tc>
          <w:tcPr>
            <w:tcW w:type="dxa" w:w="2412"/>
          </w:tcPr>
          <w:p>
            <w:pPr>
              <w:spacing w:before="40" w:after="40"/>
            </w:pPr>
            <w:r>
              <w:rPr>
                <w:b w:val="0"/>
                <w:i w:val="0"/>
                <w:sz w:val="17"/>
              </w:rPr>
              <w:t>The sponsor</w:t>
            </w:r>
          </w:p>
        </w:tc>
      </w:tr>
      <w:tr>
        <w:tc>
          <w:tcPr>
            <w:tcW w:type="dxa" w:w="2412"/>
          </w:tcPr>
          <w:p>
            <w:pPr>
              <w:spacing w:before="40" w:after="40"/>
            </w:pPr>
            <w:r>
              <w:rPr>
                <w:b w:val="0"/>
                <w:i w:val="0"/>
                <w:sz w:val="17"/>
              </w:rPr>
              <w:t>How is refusal recorded?</w:t>
            </w:r>
          </w:p>
        </w:tc>
        <w:tc>
          <w:tcPr>
            <w:tcW w:type="dxa" w:w="2412"/>
          </w:tcPr>
          <w:p>
            <w:pPr>
              <w:spacing w:before="40" w:after="40"/>
            </w:pPr>
            <w:r>
              <w:rPr>
                <w:b w:val="0"/>
                <w:i w:val="0"/>
                <w:sz w:val="17"/>
              </w:rPr>
              <w:t>A CRO dissent in the minute, escalated in 5 days</w:t>
            </w:r>
          </w:p>
        </w:tc>
        <w:tc>
          <w:tcPr>
            <w:tcW w:type="dxa" w:w="2412"/>
          </w:tcPr>
          <w:p>
            <w:pPr>
              <w:spacing w:before="40" w:after="40"/>
            </w:pPr>
            <w:r>
              <w:rPr>
                <w:b w:val="0"/>
                <w:i w:val="0"/>
                <w:sz w:val="17"/>
              </w:rPr>
              <w:t>A failed validation gate</w:t>
            </w:r>
          </w:p>
        </w:tc>
        <w:tc>
          <w:tcPr>
            <w:tcW w:type="dxa" w:w="2412"/>
          </w:tcPr>
          <w:p>
            <w:pPr>
              <w:spacing w:before="40" w:after="40"/>
            </w:pPr>
            <w:r>
              <w:rPr>
                <w:b w:val="0"/>
                <w:i w:val="0"/>
                <w:sz w:val="17"/>
              </w:rPr>
              <w:t>A declined change request</w:t>
            </w:r>
          </w:p>
        </w:tc>
      </w:tr>
      <w:tr>
        <w:tc>
          <w:tcPr>
            <w:tcW w:type="dxa" w:w="2412"/>
          </w:tcPr>
          <w:p>
            <w:pPr>
              <w:spacing w:before="40" w:after="40"/>
            </w:pPr>
            <w:r>
              <w:rPr>
                <w:b w:val="0"/>
                <w:i w:val="0"/>
                <w:sz w:val="17"/>
              </w:rPr>
              <w:t>What is protected?</w:t>
            </w:r>
          </w:p>
        </w:tc>
        <w:tc>
          <w:tcPr>
            <w:tcW w:type="dxa" w:w="2412"/>
          </w:tcPr>
          <w:p>
            <w:pPr>
              <w:spacing w:before="40" w:after="40"/>
            </w:pPr>
            <w:r>
              <w:rPr>
                <w:b w:val="0"/>
                <w:i w:val="0"/>
                <w:sz w:val="17"/>
              </w:rPr>
              <w:t>Capital, and the policyholder behind the pricing</w:t>
            </w:r>
          </w:p>
        </w:tc>
        <w:tc>
          <w:tcPr>
            <w:tcW w:type="dxa" w:w="2412"/>
          </w:tcPr>
          <w:p>
            <w:pPr>
              <w:spacing w:before="40" w:after="40"/>
            </w:pPr>
            <w:r>
              <w:rPr>
                <w:b w:val="0"/>
                <w:i w:val="0"/>
                <w:sz w:val="17"/>
              </w:rPr>
              <w:t>The member behind the model</w:t>
            </w:r>
          </w:p>
        </w:tc>
        <w:tc>
          <w:tcPr>
            <w:tcW w:type="dxa" w:w="2412"/>
          </w:tcPr>
          <w:p>
            <w:pPr>
              <w:spacing w:before="40" w:after="40"/>
            </w:pPr>
            <w:r>
              <w:rPr>
                <w:b w:val="0"/>
                <w:i w:val="0"/>
                <w:sz w:val="17"/>
              </w:rPr>
              <w:t>The delivery commitment</w:t>
            </w:r>
          </w:p>
        </w:tc>
      </w:tr>
    </w:tbl>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val="0"/>
                <w:i w:val="0"/>
                <w:sz w:val="20"/>
              </w:rPr>
              <w:t xml:space="preserve">⚠ </w:t>
            </w:r>
            <w:r>
              <w:rPr>
                <w:b/>
                <w:i w:val="0"/>
                <w:sz w:val="20"/>
              </w:rPr>
              <w:t>Lighthouse and Catalyst answer the same question two ways, and the contrast is worth understanding.</w:t>
            </w:r>
            <w:r>
              <w:rPr>
                <w:b w:val="0"/>
                <w:i w:val="0"/>
                <w:sz w:val="20"/>
              </w:rPr>
              <w:t xml:space="preserve"> Both start from the premise that the person who assembles the evidence must not rule on it. Lighthouse keeps the Program Manager in the chair and </w:t>
            </w:r>
            <w:r>
              <w:rPr>
                <w:b/>
                <w:i w:val="0"/>
                <w:sz w:val="20"/>
              </w:rPr>
              <w:t>removes the vote</w:t>
            </w:r>
            <w:r>
              <w:rPr>
                <w:b w:val="0"/>
                <w:i w:val="0"/>
                <w:sz w:val="20"/>
              </w:rPr>
              <w:t xml:space="preserve">, buying context at the cost of appearances. Catalyst </w:t>
            </w:r>
            <w:r>
              <w:rPr>
                <w:b/>
                <w:i w:val="0"/>
                <w:sz w:val="20"/>
              </w:rPr>
              <w:t>never seats him at all</w:t>
            </w:r>
            <w:r>
              <w:rPr>
                <w:b w:val="0"/>
                <w:i w:val="0"/>
                <w:sz w:val="20"/>
              </w:rPr>
              <w:t>, buying independence at the cost of context. ***Neither is more correct; they are trading the same two goods in opposite directions, and knowing which trade an organization has made tells you more about it than the org chart does.***</w:t>
            </w:r>
          </w:p>
        </w:tc>
      </w:tr>
    </w:tbl>
    <w:p/>
    <w:p/>
    <w:p>
      <w:pPr>
        <w:jc w:val="left"/>
      </w:pPr>
      <w:r>
        <w:rPr>
          <w:color w:val="5B6472"/>
          <w:sz w:val="15"/>
        </w:rPr>
        <w:t>Illustrative program data — created to demonstrate stage-gate NPD governance practice, not a real client engagement.</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