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18 ·</w:t>
      </w:r>
    </w:p>
    <w:p>
      <w:r>
        <w:rPr>
          <w:b/>
          <w:color w:val="12304A"/>
          <w:sz w:val="44"/>
        </w:rPr>
        <w:t>Change &amp; Culture Plan</w:t>
      </w:r>
    </w:p>
    <w:p>
      <w:r>
        <w:rPr>
          <w:i/>
          <w:color w:val="6B7280"/>
          <w:sz w:val="17"/>
        </w:rPr>
        <w:t>This document is a point-in-time artifact, issued August 14, 2023, and is true as of that date. It reflects assumptions, decisions and risks as they were known pre-close. It does not incorporate post-close discoveries or crisis response. Learn more about how to read this suite.</w:t>
      </w:r>
    </w:p>
    <w:p/>
    <w:p>
      <w:r>
        <w:t>Issued August 14, 2023 — five weeks before closing, with sixteen Cumberland Valley roles already identified for retention. Acquisition anxiety is the default human response to an organization being bought; this plan addresses the asymmetry of managing people who know with reasonable certainty that some portion of their jobs will not exist. The hardest part is not motivating people who expect to leave. It is asking people to do difficult knowledge work during their own job uncertainty and expecting that work to be done well.</w:t>
      </w:r>
    </w:p>
    <w:p>
      <w:pPr>
        <w:spacing w:before="320"/>
      </w:pPr>
      <w:r>
        <w:rPr>
          <w:b/>
          <w:color w:val="12304A"/>
          <w:sz w:val="28"/>
        </w:rPr>
        <w:t>1. The Integration Readiness Model</w:t>
      </w:r>
    </w:p>
    <w:p>
      <w:r>
        <w:t>Change readiness in an acquisition is not a single attribute. It is a constellation of four distinct readiness dimensions that must mature in parallel, each with separate owners, different success measures, and different failure modes.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Dimension</w:t>
            </w:r>
          </w:p>
        </w:tc>
        <w:tc>
          <w:tcPr>
            <w:tcW w:type="dxa" w:w="2412"/>
          </w:tcPr>
          <w:p>
            <w:r>
              <w:rPr>
                <w:b/>
                <w:sz w:val="17"/>
              </w:rPr>
              <w:t>Owner</w:t>
            </w:r>
          </w:p>
        </w:tc>
        <w:tc>
          <w:tcPr>
            <w:tcW w:type="dxa" w:w="2412"/>
          </w:tcPr>
          <w:p>
            <w:r>
              <w:rPr>
                <w:b/>
                <w:sz w:val="17"/>
              </w:rPr>
              <w:t>What it measures</w:t>
            </w:r>
          </w:p>
        </w:tc>
        <w:tc>
          <w:tcPr>
            <w:tcW w:type="dxa" w:w="2412"/>
          </w:tcPr>
          <w:p>
            <w:r>
              <w:rPr>
                <w:b/>
                <w:sz w:val="17"/>
              </w:rPr>
              <w:t>Failure looks like</w:t>
            </w:r>
          </w:p>
        </w:tc>
      </w:tr>
      <w:tr>
        <w:tc>
          <w:tcPr>
            <w:tcW w:type="dxa" w:w="2412"/>
          </w:tcPr>
          <w:p>
            <w:r>
              <w:rPr>
                <w:sz w:val="17"/>
              </w:rPr>
              <w:t>Organizational</w:t>
            </w:r>
          </w:p>
        </w:tc>
        <w:tc>
          <w:tcPr>
            <w:tcW w:type="dxa" w:w="2412"/>
          </w:tcPr>
          <w:p>
            <w:r>
              <w:rPr>
                <w:sz w:val="17"/>
              </w:rPr>
              <w:t>D. Ashmore (Sponsor)</w:t>
            </w:r>
          </w:p>
        </w:tc>
        <w:tc>
          <w:tcPr>
            <w:tcW w:type="dxa" w:w="2412"/>
          </w:tcPr>
          <w:p>
            <w:r>
              <w:rPr>
                <w:sz w:val="17"/>
              </w:rPr>
              <w:t>Decision-making authority is clear, reporting lines are defined, executives are empowered to make trade-offs</w:t>
            </w:r>
          </w:p>
        </w:tc>
        <w:tc>
          <w:tcPr>
            <w:tcW w:type="dxa" w:w="2412"/>
          </w:tcPr>
          <w:p>
            <w:r>
              <w:rPr>
                <w:sz w:val="17"/>
              </w:rPr>
              <w:t>A vice president defers to a peer instead of making a choice; two departments claim the same responsibility; nobody is authorized to say no</w:t>
            </w:r>
          </w:p>
        </w:tc>
      </w:tr>
      <w:tr>
        <w:tc>
          <w:tcPr>
            <w:tcW w:type="dxa" w:w="2412"/>
          </w:tcPr>
          <w:p>
            <w:r>
              <w:rPr>
                <w:sz w:val="17"/>
              </w:rPr>
              <w:t>Technical</w:t>
            </w:r>
          </w:p>
        </w:tc>
        <w:tc>
          <w:tcPr>
            <w:tcW w:type="dxa" w:w="2412"/>
          </w:tcPr>
          <w:p>
            <w:r>
              <w:rPr>
                <w:sz w:val="17"/>
              </w:rPr>
              <w:t>B. Trammell (Infrastructure PM)</w:t>
            </w:r>
          </w:p>
        </w:tc>
        <w:tc>
          <w:tcPr>
            <w:tcW w:type="dxa" w:w="2412"/>
          </w:tcPr>
          <w:p>
            <w:r>
              <w:rPr>
                <w:sz w:val="17"/>
              </w:rPr>
              <w:t>Systems can coexist or migrate on schedule; data is understandable; the infrastructure layer can bear the load</w:t>
            </w:r>
          </w:p>
        </w:tc>
        <w:tc>
          <w:tcPr>
            <w:tcW w:type="dxa" w:w="2412"/>
          </w:tcPr>
          <w:p>
            <w:r>
              <w:rPr>
                <w:sz w:val="17"/>
              </w:rPr>
              <w:t>A system runs only on legacy hardware the target owns; member data is in a format nobody documents; the network will saturate under combined volume</w:t>
            </w:r>
          </w:p>
        </w:tc>
      </w:tr>
      <w:tr>
        <w:tc>
          <w:tcPr>
            <w:tcW w:type="dxa" w:w="2412"/>
          </w:tcPr>
          <w:p>
            <w:r>
              <w:rPr>
                <w:sz w:val="17"/>
              </w:rPr>
              <w:t>Process</w:t>
            </w:r>
          </w:p>
        </w:tc>
        <w:tc>
          <w:tcPr>
            <w:tcW w:type="dxa" w:w="2412"/>
          </w:tcPr>
          <w:p>
            <w:r>
              <w:rPr>
                <w:sz w:val="17"/>
              </w:rPr>
              <w:t>R. Lattimore (Cumberland Valley Ops)</w:t>
            </w:r>
          </w:p>
        </w:tc>
        <w:tc>
          <w:tcPr>
            <w:tcW w:type="dxa" w:w="2412"/>
          </w:tcPr>
          <w:p>
            <w:r>
              <w:rPr>
                <w:sz w:val="17"/>
              </w:rPr>
              <w:t>Work instructions are documented, staffing is sized, timelines are realistic for the first time running a process</w:t>
            </w:r>
          </w:p>
        </w:tc>
        <w:tc>
          <w:tcPr>
            <w:tcW w:type="dxa" w:w="2412"/>
          </w:tcPr>
          <w:p>
            <w:r>
              <w:rPr>
                <w:sz w:val="17"/>
              </w:rPr>
              <w:t>A critical process has no written procedures; the estimate for parallel run assumes zero training or ramp time; the staffing is right only if nobody takes leave</w:t>
            </w:r>
          </w:p>
        </w:tc>
      </w:tr>
      <w:tr>
        <w:tc>
          <w:tcPr>
            <w:tcW w:type="dxa" w:w="2412"/>
          </w:tcPr>
          <w:p>
            <w:r>
              <w:rPr>
                <w:sz w:val="17"/>
              </w:rPr>
              <w:t>People</w:t>
            </w:r>
          </w:p>
        </w:tc>
        <w:tc>
          <w:tcPr>
            <w:tcW w:type="dxa" w:w="2412"/>
          </w:tcPr>
          <w:p>
            <w:r>
              <w:rPr>
                <w:sz w:val="17"/>
              </w:rPr>
              <w:t>T. Vandiver (HR Lead)</w:t>
            </w:r>
          </w:p>
        </w:tc>
        <w:tc>
          <w:tcPr>
            <w:tcW w:type="dxa" w:w="2412"/>
          </w:tcPr>
          <w:p>
            <w:r>
              <w:rPr>
                <w:sz w:val="17"/>
              </w:rPr>
              <w:t>Staff understand what is changing and what stays the same; the people who own undocumented knowledge are identified and retained; transition plans exist for those who will leave</w:t>
            </w:r>
          </w:p>
        </w:tc>
        <w:tc>
          <w:tcPr>
            <w:tcW w:type="dxa" w:w="2412"/>
          </w:tcPr>
          <w:p>
            <w:r>
              <w:rPr>
                <w:sz w:val="17"/>
              </w:rPr>
              <w:t>Silence about roles until layoffs arrive; a subject matter expert leaves before their knowledge is captured; nobody is ready to step into a newly combined function</w:t>
            </w:r>
          </w:p>
        </w:tc>
      </w:tr>
    </w:tbl>
    <w:p/>
    <w:p>
      <w:pPr>
        <w:spacing w:before="120"/>
        <w:ind w:left="360"/>
      </w:pPr>
      <w:r>
        <w:rPr>
          <w:i/>
          <w:color w:val="12304A"/>
          <w:sz w:val="20"/>
        </w:rPr>
        <w:t>All four must reach acceptable readiness before Day 1. Technical readiness without people readiness means well-designed systems nobody knows how to run. Organizational readiness without process readiness means clear decision authority with no procedures to decide between. A program that reaches three out of four looks complete and fails the fourth, usually under the pressure of the cutover itself.</w:t>
      </w:r>
    </w:p>
    <w:p>
      <w:pPr>
        <w:spacing w:before="320"/>
      </w:pPr>
      <w:r>
        <w:rPr>
          <w:b/>
          <w:color w:val="12304A"/>
          <w:sz w:val="28"/>
        </w:rPr>
        <w:t>2. Organizational Change Leadership</w:t>
      </w:r>
    </w:p>
    <w:p>
      <w:r>
        <w:t>The Change Control Board (CCB) owns integration decisions above the workstream level, with the Steering Committee as escalation. Christian Tyrrell, as Program Manager, owns the integration readiness schedule and reports readiness status to the Sponsor.</w:t>
      </w:r>
    </w:p>
    <w:p>
      <w:pPr>
        <w:spacing w:before="200"/>
      </w:pPr>
      <w:r>
        <w:rPr>
          <w:b/>
          <w:color w:val="2B5F8E"/>
          <w:sz w:val="23"/>
        </w:rPr>
        <w:t>Change Control Authority</w:t>
      </w:r>
    </w:p>
    <w:p>
      <w:r>
        <w:t>Decisions below $250K or not affecting the critical path route through the workstream lead. CCB authority is $250K to $1M; Steering approval is required above $1M or when a decision touches multiple constraints. A decision that does not move cost or schedule may still require CCB if it changes scope or shifts risk between workstreams.</w:t>
      </w:r>
    </w:p>
    <w:p>
      <w:pPr>
        <w:spacing w:before="120"/>
        <w:ind w:left="360"/>
      </w:pPr>
      <w:r>
        <w:rPr>
          <w:i/>
          <w:color w:val="12304A"/>
          <w:sz w:val="20"/>
        </w:rPr>
        <w:t>Authority without clear escalation criteria creates three failures. First, leaders delegate decisions they should make, slowing the program. Second, they make decisions they are not authorized for, and those decisions are later reversed. Third, they make decisions in fear of the wrong authority level and avoid anything that could be controversial — which leaves the real trade-offs buried until cutover.</w:t>
      </w:r>
    </w:p>
    <w:p>
      <w:pPr>
        <w:spacing w:before="320"/>
      </w:pPr>
      <w:r>
        <w:rPr>
          <w:b/>
          <w:color w:val="12304A"/>
          <w:sz w:val="28"/>
        </w:rPr>
        <w:t>3. Readiness Assessment</w:t>
      </w:r>
    </w:p>
    <w:p>
      <w:r>
        <w:t>Organizational readiness is assessed on a gate-by-gate basis: pre-close, Day 1 go/no-go, launch of each migration wave, and the 100-day mark. Each assessment is against a documented readiness model, and the model is not revisable post-assessment — the criteria are set before the evaluation.</w:t>
      </w:r>
    </w:p>
    <w:p>
      <w:pPr>
        <w:spacing w:before="200"/>
      </w:pPr>
      <w:r>
        <w:rPr>
          <w:b/>
          <w:color w:val="2B5F8E"/>
          <w:sz w:val="23"/>
        </w:rPr>
        <w:t>Readiness gate criteria</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Dimension</w:t>
            </w:r>
          </w:p>
        </w:tc>
        <w:tc>
          <w:tcPr>
            <w:tcW w:type="dxa" w:w="1930"/>
          </w:tcPr>
          <w:p>
            <w:r>
              <w:rPr>
                <w:b/>
                <w:sz w:val="17"/>
              </w:rPr>
              <w:t>Pre-close gate</w:t>
            </w:r>
          </w:p>
        </w:tc>
        <w:tc>
          <w:tcPr>
            <w:tcW w:type="dxa" w:w="1930"/>
          </w:tcPr>
          <w:p>
            <w:r>
              <w:rPr>
                <w:b/>
                <w:sz w:val="17"/>
              </w:rPr>
              <w:t>Day 1 gate</w:t>
            </w:r>
          </w:p>
        </w:tc>
        <w:tc>
          <w:tcPr>
            <w:tcW w:type="dxa" w:w="1930"/>
          </w:tcPr>
          <w:p>
            <w:r>
              <w:rPr>
                <w:b/>
                <w:sz w:val="17"/>
              </w:rPr>
              <w:t>Wave launch gate</w:t>
            </w:r>
          </w:p>
        </w:tc>
        <w:tc>
          <w:tcPr>
            <w:tcW w:type="dxa" w:w="1930"/>
          </w:tcPr>
          <w:p>
            <w:r>
              <w:rPr>
                <w:b/>
                <w:sz w:val="17"/>
              </w:rPr>
              <w:t>100-day gate</w:t>
            </w:r>
          </w:p>
        </w:tc>
      </w:tr>
      <w:tr>
        <w:tc>
          <w:tcPr>
            <w:tcW w:type="dxa" w:w="1930"/>
          </w:tcPr>
          <w:p>
            <w:r>
              <w:rPr>
                <w:sz w:val="17"/>
              </w:rPr>
              <w:t>Organization</w:t>
            </w:r>
          </w:p>
        </w:tc>
        <w:tc>
          <w:tcPr>
            <w:tcW w:type="dxa" w:w="1930"/>
          </w:tcPr>
          <w:p>
            <w:r>
              <w:rPr>
                <w:sz w:val="17"/>
              </w:rPr>
              <w:t>Reporting structure defined; interim roles filled</w:t>
            </w:r>
          </w:p>
        </w:tc>
        <w:tc>
          <w:tcPr>
            <w:tcW w:type="dxa" w:w="1930"/>
          </w:tcPr>
          <w:p>
            <w:r>
              <w:rPr>
                <w:sz w:val="17"/>
              </w:rPr>
              <w:t>Permanent governance structure live; escalation decision-making tested</w:t>
            </w:r>
          </w:p>
        </w:tc>
        <w:tc>
          <w:tcPr>
            <w:tcW w:type="dxa" w:w="1930"/>
          </w:tcPr>
          <w:p>
            <w:r>
              <w:rPr>
                <w:sz w:val="17"/>
              </w:rPr>
              <w:t>Wave governance in place; decision authority distributed</w:t>
            </w:r>
          </w:p>
        </w:tc>
        <w:tc>
          <w:tcPr>
            <w:tcW w:type="dxa" w:w="1930"/>
          </w:tcPr>
          <w:p>
            <w:r>
              <w:rPr>
                <w:sz w:val="17"/>
              </w:rPr>
              <w:t>Permanent structure effective; RACI reviewed and signed</w:t>
            </w:r>
          </w:p>
        </w:tc>
      </w:tr>
      <w:tr>
        <w:tc>
          <w:tcPr>
            <w:tcW w:type="dxa" w:w="1930"/>
          </w:tcPr>
          <w:p>
            <w:r>
              <w:rPr>
                <w:sz w:val="17"/>
              </w:rPr>
              <w:t>Technical</w:t>
            </w:r>
          </w:p>
        </w:tc>
        <w:tc>
          <w:tcPr>
            <w:tcW w:type="dxa" w:w="1930"/>
          </w:tcPr>
          <w:p>
            <w:r>
              <w:rPr>
                <w:sz w:val="17"/>
              </w:rPr>
              <w:t>Landing zone acceptance; data inventory complete</w:t>
            </w:r>
          </w:p>
        </w:tc>
        <w:tc>
          <w:tcPr>
            <w:tcW w:type="dxa" w:w="1930"/>
          </w:tcPr>
          <w:p>
            <w:r>
              <w:rPr>
                <w:sz w:val="17"/>
              </w:rPr>
              <w:t>Production-equivalent environments stood up; migration tests successful on small datasets</w:t>
            </w:r>
          </w:p>
        </w:tc>
        <w:tc>
          <w:tcPr>
            <w:tcW w:type="dxa" w:w="1930"/>
          </w:tcPr>
          <w:p>
            <w:r>
              <w:rPr>
                <w:sz w:val="17"/>
              </w:rPr>
              <w:t>Cutover scripts tested against live data volume; rollback proven</w:t>
            </w:r>
          </w:p>
        </w:tc>
        <w:tc>
          <w:tcPr>
            <w:tcW w:type="dxa" w:w="1930"/>
          </w:tcPr>
          <w:p>
            <w:r>
              <w:rPr>
                <w:sz w:val="17"/>
              </w:rPr>
              <w:t>All systems carrying production load; disaster recovery tested</w:t>
            </w:r>
          </w:p>
        </w:tc>
      </w:tr>
      <w:tr>
        <w:tc>
          <w:tcPr>
            <w:tcW w:type="dxa" w:w="1930"/>
          </w:tcPr>
          <w:p>
            <w:r>
              <w:rPr>
                <w:sz w:val="17"/>
              </w:rPr>
              <w:t>Process</w:t>
            </w:r>
          </w:p>
        </w:tc>
        <w:tc>
          <w:tcPr>
            <w:tcW w:type="dxa" w:w="1930"/>
          </w:tcPr>
          <w:p>
            <w:r>
              <w:rPr>
                <w:sz w:val="17"/>
              </w:rPr>
              <w:t>Operating procedures documented; ACME and Cumberland Valley versions reconciled</w:t>
            </w:r>
          </w:p>
        </w:tc>
        <w:tc>
          <w:tcPr>
            <w:tcW w:type="dxa" w:w="1930"/>
          </w:tcPr>
          <w:p>
            <w:r>
              <w:rPr>
                <w:sz w:val="17"/>
              </w:rPr>
              <w:t>Procedures available to operational staff; training on the changed process complete</w:t>
            </w:r>
          </w:p>
        </w:tc>
        <w:tc>
          <w:tcPr>
            <w:tcW w:type="dxa" w:w="1930"/>
          </w:tcPr>
          <w:p>
            <w:r>
              <w:rPr>
                <w:sz w:val="17"/>
              </w:rPr>
              <w:t>Wave-specific runbooks complete; parallel run schedule confirmed</w:t>
            </w:r>
          </w:p>
        </w:tc>
        <w:tc>
          <w:tcPr>
            <w:tcW w:type="dxa" w:w="1930"/>
          </w:tcPr>
          <w:p>
            <w:r>
              <w:rPr>
                <w:sz w:val="17"/>
              </w:rPr>
              <w:t>Post-cutover support model in place; escalation paths live</w:t>
            </w:r>
          </w:p>
        </w:tc>
      </w:tr>
      <w:tr>
        <w:tc>
          <w:tcPr>
            <w:tcW w:type="dxa" w:w="1930"/>
          </w:tcPr>
          <w:p>
            <w:r>
              <w:rPr>
                <w:sz w:val="17"/>
              </w:rPr>
              <w:t>People</w:t>
            </w:r>
          </w:p>
        </w:tc>
        <w:tc>
          <w:tcPr>
            <w:tcW w:type="dxa" w:w="1930"/>
          </w:tcPr>
          <w:p>
            <w:r>
              <w:rPr>
                <w:sz w:val="17"/>
              </w:rPr>
              <w:t>Organization chart final; knowledge map complete; retention agreements signed</w:t>
            </w:r>
          </w:p>
        </w:tc>
        <w:tc>
          <w:tcPr>
            <w:tcW w:type="dxa" w:w="1930"/>
          </w:tcPr>
          <w:p>
            <w:r>
              <w:rPr>
                <w:sz w:val="17"/>
              </w:rPr>
              <w:t>All staff aware of their role in the new organization or departure timeline; knowledge transfer begun</w:t>
            </w:r>
          </w:p>
        </w:tc>
        <w:tc>
          <w:tcPr>
            <w:tcW w:type="dxa" w:w="1930"/>
          </w:tcPr>
          <w:p>
            <w:r>
              <w:rPr>
                <w:sz w:val="17"/>
              </w:rPr>
              <w:t>Wave teams formed and trained; transition resources in place</w:t>
            </w:r>
          </w:p>
        </w:tc>
        <w:tc>
          <w:tcPr>
            <w:tcW w:type="dxa" w:w="1930"/>
          </w:tcPr>
          <w:p>
            <w:r>
              <w:rPr>
                <w:sz w:val="17"/>
              </w:rPr>
              <w:t>Post-transition team structure stable; performance issues surfaced</w:t>
            </w:r>
          </w:p>
        </w:tc>
      </w:tr>
    </w:tbl>
    <w:p/>
    <w:p>
      <w:pPr>
        <w:spacing w:before="320"/>
      </w:pPr>
      <w:r>
        <w:rPr>
          <w:b/>
          <w:color w:val="12304A"/>
          <w:sz w:val="28"/>
        </w:rPr>
        <w:t>4. Leadership Transition Planning</w:t>
      </w:r>
    </w:p>
    <w:p>
      <w:r>
        <w:t>Cumberland Valley's Chief Executive Officer and three officers will not have positions in the combined organization. ACME's equivalents will lead those functions. The transition window is pre-close to 90 days post-close, with two distinct tracks: (1) executive transition to advisory/exit roles, and (2) senior manager absorption into ACME peer groups.</w:t>
      </w:r>
    </w:p>
    <w:p>
      <w:pPr>
        <w:spacing w:before="200"/>
      </w:pPr>
      <w:r>
        <w:rPr>
          <w:b/>
          <w:color w:val="2B5F8E"/>
          <w:sz w:val="23"/>
        </w:rPr>
        <w:t>Executive transition</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Executive</w:t>
            </w:r>
          </w:p>
        </w:tc>
        <w:tc>
          <w:tcPr>
            <w:tcW w:type="dxa" w:w="1930"/>
          </w:tcPr>
          <w:p>
            <w:r>
              <w:rPr>
                <w:b/>
                <w:sz w:val="17"/>
              </w:rPr>
              <w:t>Current role</w:t>
            </w:r>
          </w:p>
        </w:tc>
        <w:tc>
          <w:tcPr>
            <w:tcW w:type="dxa" w:w="1930"/>
          </w:tcPr>
          <w:p>
            <w:r>
              <w:rPr>
                <w:b/>
                <w:sz w:val="17"/>
              </w:rPr>
              <w:t>Transition plan</w:t>
            </w:r>
          </w:p>
        </w:tc>
        <w:tc>
          <w:tcPr>
            <w:tcW w:type="dxa" w:w="1930"/>
          </w:tcPr>
          <w:p>
            <w:r>
              <w:rPr>
                <w:b/>
                <w:sz w:val="17"/>
              </w:rPr>
              <w:t>Timeline</w:t>
            </w:r>
          </w:p>
        </w:tc>
        <w:tc>
          <w:tcPr>
            <w:tcW w:type="dxa" w:w="1930"/>
          </w:tcPr>
          <w:p>
            <w:r>
              <w:rPr>
                <w:b/>
                <w:sz w:val="17"/>
              </w:rPr>
              <w:t>Reporting to</w:t>
            </w:r>
          </w:p>
        </w:tc>
      </w:tr>
      <w:tr>
        <w:tc>
          <w:tcPr>
            <w:tcW w:type="dxa" w:w="1930"/>
          </w:tcPr>
          <w:p>
            <w:r>
              <w:rPr>
                <w:sz w:val="17"/>
              </w:rPr>
              <w:t>M. Kessinger</w:t>
            </w:r>
          </w:p>
        </w:tc>
        <w:tc>
          <w:tcPr>
            <w:tcW w:type="dxa" w:w="1930"/>
          </w:tcPr>
          <w:p>
            <w:r>
              <w:rPr>
                <w:sz w:val="17"/>
              </w:rPr>
              <w:t>President &amp; CEO, CVHP</w:t>
            </w:r>
          </w:p>
        </w:tc>
        <w:tc>
          <w:tcPr>
            <w:tcW w:type="dxa" w:w="1930"/>
          </w:tcPr>
          <w:p>
            <w:r>
              <w:rPr>
                <w:sz w:val="17"/>
              </w:rPr>
              <w:t>Advisory role through Day 100; supports regulatory compliance and key provider communications. No operational responsibility.</w:t>
            </w:r>
          </w:p>
        </w:tc>
        <w:tc>
          <w:tcPr>
            <w:tcW w:type="dxa" w:w="1930"/>
          </w:tcPr>
          <w:p>
            <w:r>
              <w:rPr>
                <w:sz w:val="17"/>
              </w:rPr>
              <w:t>Pre-close through Day 100</w:t>
            </w:r>
          </w:p>
        </w:tc>
        <w:tc>
          <w:tcPr>
            <w:tcW w:type="dxa" w:w="1930"/>
          </w:tcPr>
          <w:p>
            <w:r>
              <w:rPr>
                <w:sz w:val="17"/>
              </w:rPr>
              <w:t>D. Ashmore</w:t>
            </w:r>
          </w:p>
        </w:tc>
      </w:tr>
      <w:tr>
        <w:tc>
          <w:tcPr>
            <w:tcW w:type="dxa" w:w="1930"/>
          </w:tcPr>
          <w:p>
            <w:r>
              <w:rPr>
                <w:sz w:val="17"/>
              </w:rPr>
              <w:t>C. Adeyemi</w:t>
            </w:r>
          </w:p>
        </w:tc>
        <w:tc>
          <w:tcPr>
            <w:tcW w:type="dxa" w:w="1930"/>
          </w:tcPr>
          <w:p>
            <w:r>
              <w:rPr>
                <w:sz w:val="17"/>
              </w:rPr>
              <w:t>Chief Actuary, CVHP</w:t>
            </w:r>
          </w:p>
        </w:tc>
        <w:tc>
          <w:tcPr>
            <w:tcW w:type="dxa" w:w="1930"/>
          </w:tcPr>
          <w:p>
            <w:r>
              <w:rPr>
                <w:sz w:val="17"/>
              </w:rPr>
              <w:t>Financial close activities and actuarial reserve valuation; knowledge transfer on fund accounting methodology. Exit effective upon GL system cutover.</w:t>
            </w:r>
          </w:p>
        </w:tc>
        <w:tc>
          <w:tcPr>
            <w:tcW w:type="dxa" w:w="1930"/>
          </w:tcPr>
          <w:p>
            <w:r>
              <w:rPr>
                <w:sz w:val="17"/>
              </w:rPr>
              <w:t>Pre-close through M+6</w:t>
            </w:r>
          </w:p>
        </w:tc>
        <w:tc>
          <w:tcPr>
            <w:tcW w:type="dxa" w:w="1930"/>
          </w:tcPr>
          <w:p>
            <w:r>
              <w:rPr>
                <w:sz w:val="17"/>
              </w:rPr>
              <w:t>CFO, ACME</w:t>
            </w:r>
          </w:p>
        </w:tc>
      </w:tr>
      <w:tr>
        <w:tc>
          <w:tcPr>
            <w:tcW w:type="dxa" w:w="1930"/>
          </w:tcPr>
          <w:p>
            <w:r>
              <w:rPr>
                <w:sz w:val="17"/>
              </w:rPr>
              <w:t>Dr. M. Ellsworth</w:t>
            </w:r>
          </w:p>
        </w:tc>
        <w:tc>
          <w:tcPr>
            <w:tcW w:type="dxa" w:w="1930"/>
          </w:tcPr>
          <w:p>
            <w:r>
              <w:rPr>
                <w:sz w:val="17"/>
              </w:rPr>
              <w:t>Chief Medical Officer, ACME</w:t>
            </w:r>
          </w:p>
        </w:tc>
        <w:tc>
          <w:tcPr>
            <w:tcW w:type="dxa" w:w="1930"/>
          </w:tcPr>
          <w:p>
            <w:r>
              <w:rPr>
                <w:sz w:val="17"/>
              </w:rPr>
              <w:t>Provider relations and clinical policy advisory; represents both organizations in integrated role.</w:t>
            </w:r>
          </w:p>
        </w:tc>
        <w:tc>
          <w:tcPr>
            <w:tcW w:type="dxa" w:w="1930"/>
          </w:tcPr>
          <w:p>
            <w:r>
              <w:rPr>
                <w:sz w:val="17"/>
              </w:rPr>
              <w:t>Ongoing through Year 2</w:t>
            </w:r>
          </w:p>
        </w:tc>
        <w:tc>
          <w:tcPr>
            <w:tcW w:type="dxa" w:w="1930"/>
          </w:tcPr>
          <w:p>
            <w:r>
              <w:rPr>
                <w:sz w:val="17"/>
              </w:rPr>
              <w:t>COO, ACME</w:t>
            </w:r>
          </w:p>
        </w:tc>
      </w:tr>
      <w:tr>
        <w:tc>
          <w:tcPr>
            <w:tcW w:type="dxa" w:w="1930"/>
          </w:tcPr>
          <w:p>
            <w:r>
              <w:rPr>
                <w:sz w:val="17"/>
              </w:rPr>
              <w:t>R. Lattimore</w:t>
            </w:r>
          </w:p>
        </w:tc>
        <w:tc>
          <w:tcPr>
            <w:tcW w:type="dxa" w:w="1930"/>
          </w:tcPr>
          <w:p>
            <w:r>
              <w:rPr>
                <w:sz w:val="17"/>
              </w:rPr>
              <w:t>COO, CVHP</w:t>
            </w:r>
          </w:p>
        </w:tc>
        <w:tc>
          <w:tcPr>
            <w:tcW w:type="dxa" w:w="1930"/>
          </w:tcPr>
          <w:p>
            <w:r>
              <w:rPr>
                <w:sz w:val="17"/>
              </w:rPr>
              <w:t>Integrated into ACME as Senior VP Operations, Southeast Region. Not a transition — she is the operations lead for the combined entity in this geography. Reporting structure and peer group defined.</w:t>
            </w:r>
          </w:p>
        </w:tc>
        <w:tc>
          <w:tcPr>
            <w:tcW w:type="dxa" w:w="1930"/>
          </w:tcPr>
          <w:p>
            <w:r>
              <w:rPr>
                <w:sz w:val="17"/>
              </w:rPr>
              <w:t>Immediately at close</w:t>
            </w:r>
          </w:p>
        </w:tc>
        <w:tc>
          <w:tcPr>
            <w:tcW w:type="dxa" w:w="1930"/>
          </w:tcPr>
          <w:p>
            <w:r>
              <w:rPr>
                <w:sz w:val="17"/>
              </w:rPr>
              <w:t>COO, ACME</w:t>
            </w:r>
          </w:p>
        </w:tc>
      </w:tr>
    </w:tbl>
    <w:p/>
    <w:p>
      <w:pPr>
        <w:spacing w:before="120"/>
        <w:ind w:left="360"/>
      </w:pPr>
      <w:r>
        <w:rPr>
          <w:i/>
          <w:color w:val="12304A"/>
          <w:sz w:val="20"/>
        </w:rPr>
        <w:t>R. Lattimore is not being transitioned out; she is being integrated in. She carries the most detailed knowledge of Cumberland Valley operations and will be leading the operational integration. Her move from target CEO-staff to ACME line management is a step down in title and a substantial step up in responsibility — managing Day 1 operations across two companies that operate differently. Her retention and engagement is therefore both a knowledge-retention issue and an organizational-structure issue.</w:t>
      </w:r>
    </w:p>
    <w:p>
      <w:pPr>
        <w:spacing w:before="200"/>
      </w:pPr>
      <w:r>
        <w:rPr>
          <w:b/>
          <w:color w:val="2B5F8E"/>
          <w:sz w:val="23"/>
        </w:rPr>
        <w:t>Senior manager absorption</w:t>
      </w:r>
    </w:p>
    <w:p>
      <w:r>
        <w:t>Sixteen roles carry retention agreements under Artifact 19. An additional thirty-four senior managers do not carry retention but will be absorbed into ACME peer groups. The integration track for this group is: peer assignment (pre-close), role clarification (Day 1), full organizational absorption (Day 100), and performance evaluation under the combined structure (Month 6).</w:t>
      </w:r>
    </w:p>
    <w:p>
      <w:pPr>
        <w:spacing w:before="320"/>
      </w:pPr>
      <w:r>
        <w:rPr>
          <w:b/>
          <w:color w:val="12304A"/>
          <w:sz w:val="28"/>
        </w:rPr>
        <w:t>5. Functional Area Integration</w:t>
      </w:r>
    </w:p>
    <w:p>
      <w:r>
        <w:t>Integration happens at different speeds in different functions, driven by the application disposition matrix and the timeline constraints. This section addresses the integration sequence for the major functional areas.</w:t>
      </w:r>
    </w:p>
    <w:p>
      <w:pPr>
        <w:spacing w:before="200"/>
      </w:pPr>
      <w:r>
        <w:rPr>
          <w:b/>
          <w:color w:val="2B5F8E"/>
          <w:sz w:val="23"/>
        </w:rPr>
        <w:t>Finance and Accounting</w:t>
      </w:r>
    </w:p>
    <w:p>
      <w:r>
        <w:t>General Ledger, accounts payable and accounts receivable will migrate to ACME's systems within 90 days of closing. The finance function itself (planning, analysis, consolidation) will consolidate at Day 100 when the GL cutover is complete. Until then, Cumberland Valley runs parallel on legacy systems, and the two sets of books are reconciled weekly through the TSA provider.</w:t>
      </w:r>
    </w:p>
    <w:p>
      <w:pPr>
        <w:spacing w:before="120"/>
        <w:ind w:left="360"/>
      </w:pPr>
      <w:r>
        <w:rPr>
          <w:i/>
          <w:color w:val="12304A"/>
          <w:sz w:val="20"/>
        </w:rPr>
        <w:t>"We'll consolidate the finance function later" is the decision that makes later much longer. A finance team that is still closing two separate books six weeks post-close is a team that never becomes one. The specific cutover date becomes the boundary between "we are still running separately" and "we are one organization using this process." Before that date, decisions affect two sets of books; after it, only one. Finance leaders make their career choices around that boundary.</w:t>
      </w:r>
    </w:p>
    <w:p>
      <w:pPr>
        <w:spacing w:before="200"/>
      </w:pPr>
      <w:r>
        <w:rPr>
          <w:b/>
          <w:color w:val="2B5F8E"/>
          <w:sz w:val="23"/>
        </w:rPr>
        <w:t>Claims Administration and Benefits</w:t>
      </w:r>
    </w:p>
    <w:p>
      <w:r>
        <w:t>Core claims administration is absorbed into ACME (disposition AD-01). Configuration changes to reproduce Cumberland Valley benefit logic will reach production on Day 1; configuration validation through parallel run will occupy the first 90 days. The team doing this work is largely Cumberland Valley staff, trained on ACME systems. The career path for a configuration analyst is: (1) learn ACME, (2) configure Cumberland Valley logic, (3) if retained after 90 days, move to ACME support work, or (4) separate if not retained.</w:t>
      </w:r>
    </w:p>
    <w:p>
      <w:pPr>
        <w:spacing w:before="200"/>
      </w:pPr>
      <w:r>
        <w:rPr>
          <w:b/>
          <w:color w:val="2B5F8E"/>
          <w:sz w:val="23"/>
        </w:rPr>
        <w:t>Provider Networks</w:t>
      </w:r>
    </w:p>
    <w:p>
      <w:r>
        <w:t>Provider networks remain separate by geography (disposition AD-09, best-of-both). Cumberland Valley providers are on Cumberland Valley contracts; ACME providers are on ACME contracts. Coordination of clinical policy and utilization management happens through the combined Medical Director. Consolidation is a Year 2 decision, not a Day 1 cutover.</w:t>
      </w:r>
    </w:p>
    <w:p>
      <w:pPr>
        <w:spacing w:before="200"/>
      </w:pPr>
      <w:r>
        <w:rPr>
          <w:b/>
          <w:color w:val="2B5F8E"/>
          <w:sz w:val="23"/>
        </w:rPr>
        <w:t>Care Management</w:t>
      </w:r>
    </w:p>
    <w:p>
      <w:r>
        <w:t>Care management is preserved (disposition AD-07). The team will operate independently under ACME infrastructure. Reporting changes; process does not. The career path is: the team stays, its leader reports to a new medical director, and it proves its value through outcome measures over twelve months.</w:t>
      </w:r>
    </w:p>
    <w:p>
      <w:pPr>
        <w:spacing w:before="320"/>
      </w:pPr>
      <w:r>
        <w:rPr>
          <w:b/>
          <w:color w:val="12304A"/>
          <w:sz w:val="28"/>
        </w:rPr>
        <w:t>6. Managing the Asymmetry</w:t>
      </w:r>
    </w:p>
    <w:p>
      <w:r>
        <w:t>The structural problem of an acquisition is that an organization has made a decision about the future of another organization, and the people in that other organization face outcomes they did not choose and cannot control. An integration cannot eliminate this asymmetry. It can only make it visible and manageable rather than hidden and poisonous.</w:t>
      </w:r>
    </w:p>
    <w:p>
      <w:pPr>
        <w:spacing w:before="120"/>
        <w:ind w:left="360"/>
      </w:pPr>
      <w:r>
        <w:rPr>
          <w:i/>
          <w:color w:val="12304A"/>
          <w:sz w:val="20"/>
        </w:rPr>
        <w:t>The worst communication in an acquisition is reassurance masquerading as information. "No decisions have been made about roles" is comforting when said in August and devastating when contradicted in March. The alternative is honest: "We are going to do this analysis, here is when we will finish, and here is what we have committed to telling people at each stage." Uncertainty is hard; being managed is harder.</w:t>
      </w:r>
    </w:p>
    <w:p>
      <w:pPr>
        <w:spacing w:before="200"/>
      </w:pPr>
      <w:r>
        <w:rPr>
          <w:b/>
          <w:color w:val="2B5F8E"/>
          <w:sz w:val="23"/>
        </w:rPr>
        <w:t>CC-01: Certainty about the uncertain</w:t>
      </w:r>
    </w:p>
    <w:p>
      <w:r>
        <w:t>Within one week of closing, all staff receive written communication that names: (1) what is definitely changing, (2) what is definitely not changing, and (3) what is not yet decided and when the decision will be made. The tone is businesslike, not reassuring. The aim is not to comfort people but to give them the information they need to make their own decisions about their future.</w:t>
      </w:r>
    </w:p>
    <w:p>
      <w:pPr>
        <w:spacing w:before="200"/>
      </w:pPr>
      <w:r>
        <w:rPr>
          <w:b/>
          <w:color w:val="2B5F8E"/>
          <w:sz w:val="23"/>
        </w:rPr>
        <w:t>CC-02: The sixteen-role list is published, but not the other sixty-eight</w:t>
      </w:r>
    </w:p>
    <w:p>
      <w:r>
        <w:t>Sixteen roles carry retention agreements. Those sixteen people are named to those sixteen roles in their offer letter (Artifact 19). Everyone else receives written notice: your current role exists through [date], and your role after that date is being determined. That analysis will be finished by [date], and you will receive your own letter at that time or earlier. This creates two categories of certainty (name and role) but eliminates the false comfort of pretending the other sixty-eight roles are unaffected.</w:t>
      </w:r>
    </w:p>
    <w:p>
      <w:pPr>
        <w:spacing w:before="120"/>
        <w:ind w:left="360"/>
      </w:pPr>
      <w:r>
        <w:rPr>
          <w:i/>
          <w:color w:val="12304A"/>
          <w:sz w:val="20"/>
        </w:rPr>
        <w:t>The person who is not on the retention list can spend nine months in limbo, or nine months planning their next move. A clear message of "your role is not yet decided, here is when it will be" unlocks the second option. The first option is the result of ambiguous silence.</w:t>
      </w:r>
    </w:p>
    <w:p>
      <w:pPr>
        <w:spacing w:before="200"/>
      </w:pPr>
      <w:r>
        <w:rPr>
          <w:b/>
          <w:color w:val="2B5F8E"/>
          <w:sz w:val="23"/>
        </w:rPr>
        <w:t>CC-03: The dual career path is explicit</w:t>
      </w:r>
    </w:p>
    <w:p>
      <w:r>
        <w:t>A Cumberland Valley manager entering the combined organization has two possible paths: (1) move into ACME, or (2) separate under a transition package. Both paths are legitimate. The first is not the default and the second is not a punishment. The career development conversation is: which path makes sense for you, given what is changing and what you want from your career?</w:t>
      </w:r>
    </w:p>
    <w:p>
      <w:pPr>
        <w:spacing w:before="200"/>
      </w:pPr>
      <w:r>
        <w:rPr>
          <w:b/>
          <w:color w:val="2B5F8E"/>
          <w:sz w:val="23"/>
        </w:rPr>
        <w:t>CC-04: Transition support for those separating</w:t>
      </w:r>
    </w:p>
    <w:p>
      <w:r>
        <w:t>Separation packages are offered to any non-retained Cumberland Valley manager who chooses to leave between close and the end of the organizational restructuring (Day 100). The package includes: (1) severance based on tenure, (2) health insurance continuation, (3) outplacement counseling services, (4) a reference from the business unit leader. The timing is specified: if you separate before [date], the package is as stated. After that date, severance is reduced. This creates incentive for people to make their choice early and move on rather than staying in limbo.</w:t>
      </w:r>
    </w:p>
    <w:p>
      <w:pPr>
        <w:spacing w:before="320"/>
      </w:pPr>
      <w:r>
        <w:rPr>
          <w:b/>
          <w:color w:val="12304A"/>
          <w:sz w:val="28"/>
        </w:rPr>
        <w:t>7. Knowledge Transfer Governance</w:t>
      </w:r>
    </w:p>
    <w:p>
      <w:r>
        <w:t>An acquisition combines two organizations that have grown separately. The knowledge that makes one run — the undocumented processes, the policy rationales, the decision trees that are in people's heads — is often the most valuable asset being acquired and the most at risk of being lost.</w:t>
      </w:r>
    </w:p>
    <w:p>
      <w:pPr>
        <w:spacing w:before="200"/>
      </w:pPr>
      <w:r>
        <w:rPr>
          <w:b/>
          <w:color w:val="2B5F8E"/>
          <w:sz w:val="23"/>
        </w:rPr>
        <w:t>KT-01: Knowledge mapping</w:t>
      </w:r>
    </w:p>
    <w:p>
      <w:r>
        <w:t>Before closing, each critical function identifies the knowledge that cannot be easily replicated: customer relationships that are personal, system configurations that are built but undocumented, policy decisions that are rationale-only. The map identifies the person (or typically, the two people) who carry the knowledge, the knowledge domain, the criticality to the integration, and the planned transfer method.</w:t>
      </w:r>
    </w:p>
    <w:p>
      <w:pPr>
        <w:spacing w:before="200"/>
      </w:pPr>
      <w:r>
        <w:rPr>
          <w:b/>
          <w:color w:val="2B5F8E"/>
          <w:sz w:val="23"/>
        </w:rPr>
        <w:t>KT-02: Knowledge owners are named in the organization chart</w:t>
      </w:r>
    </w:p>
    <w:p>
      <w:r>
        <w:t>Every function has a documented owner for the knowledge transfer in that area. If the owner is a person who is separating, knowledge transfer is a deliverable in their separation package. If the owner is a person being retained, knowledge transfer is a formal workstream reporting status just like any other workstream.</w:t>
      </w:r>
    </w:p>
    <w:p>
      <w:pPr>
        <w:spacing w:before="200"/>
      </w:pPr>
      <w:r>
        <w:rPr>
          <w:b/>
          <w:color w:val="2B5F8E"/>
          <w:sz w:val="23"/>
        </w:rPr>
        <w:t>KT-03: Reverse shadowing for technical knowledge</w:t>
      </w:r>
    </w:p>
    <w:p>
      <w:r>
        <w:t>The standard model for knowledge transfer is: incumbent demonstrates, receiver watches, receiver takes notes, receiver is certified as competent. This model fails in practice because the receiver has now seen the work done and cannot do it independently. Reverse shadowing inverts it: the receiver performs the work (or simulates it), the incumbent observes and corrects, and the incumbent certifies the receiver as competent. The discomfort on both sides is the signal that the transfer is working.</w:t>
      </w:r>
    </w:p>
    <w:p>
      <w:pPr>
        <w:spacing w:before="120"/>
        <w:ind w:left="360"/>
      </w:pPr>
      <w:r>
        <w:rPr>
          <w:i/>
          <w:color w:val="12304A"/>
          <w:sz w:val="20"/>
        </w:rPr>
        <w:t>Conventional knowledge transfer produces people who have watched someone work. Reverse shadowing produces people who can work. The difference is the entire value of the transfer. The incumbent's role is not to demonstrate (which puts them in the spotlight) but to certify (which puts the receiver in the spotlight and the accountability on them). Certification with an uncomfortable expert watching is the method that survives the transition when the expert is gone.</w:t>
      </w:r>
    </w:p>
    <w:p>
      <w:pPr>
        <w:spacing w:before="200"/>
      </w:pPr>
      <w:r>
        <w:rPr>
          <w:b/>
          <w:color w:val="2B5F8E"/>
          <w:sz w:val="23"/>
        </w:rPr>
        <w:t>KT-04: The knowledge transfer outcome is contractual</w:t>
      </w:r>
    </w:p>
    <w:p>
      <w:r>
        <w:t>Retention agreements (Artifact 19) specify: the person commits to transfer identified knowledge; the organization commits to allowing the time and environment for the transfer; both parties commit to accepting reverse-shadowing acceptance, which means the incumbent must certify that the receiver is competent to work independently. This is not optional. If the incumbent declines to certify, the retention agreement is voided and the person is released without severance.</w:t>
      </w:r>
    </w:p>
    <w:p>
      <w:pPr>
        <w:spacing w:before="320"/>
      </w:pPr>
      <w:r>
        <w:rPr>
          <w:b/>
          <w:color w:val="12304A"/>
          <w:sz w:val="28"/>
        </w:rPr>
        <w:t>8. Cultural Integration Approach</w:t>
      </w:r>
    </w:p>
    <w:p>
      <w:r>
        <w:t>ACME and Cumberland Valley are both health plans, but they have grown separately and carry different operating cultures. Integration does not mean Cumberland Valley adopts ACME culture. It means the two organizations develop a combined culture that draws the best from each and discards the worst from both.</w:t>
      </w:r>
    </w:p>
    <w:p>
      <w:pPr>
        <w:spacing w:before="200"/>
      </w:pPr>
      <w:r>
        <w:rPr>
          <w:b/>
          <w:color w:val="2B5F8E"/>
          <w:sz w:val="23"/>
        </w:rPr>
        <w:t>The cultural assessment</w:t>
      </w:r>
    </w:p>
    <w:p>
      <w:r>
        <w:t>Thirty days post-close, a confidential survey asks staff across both organizations: what is working well in your current organization's culture that you want to keep, and what would you change? Themes are aggregated and reported back to senior leadership without identifying responses. This is not to make staff feel heard (though that matters). It is to surface the cultural norms that are actually operating versus the stated values.</w:t>
      </w:r>
    </w:p>
    <w:p>
      <w:pPr>
        <w:spacing w:before="120"/>
        <w:ind w:left="360"/>
      </w:pPr>
      <w:r>
        <w:rPr>
          <w:i/>
          <w:color w:val="12304A"/>
          <w:sz w:val="20"/>
        </w:rPr>
        <w:t>The cultural integration usually gets left to "natural" blending. That produces a worst-of-both outcome: the rules from the acquirer that are inefficient in the target context, combined with the habits of the target that undermine the acquirer's operating model. A deliberate cultural integration acknowledges that both organizations have learned things and that recombination requires design.</w:t>
      </w:r>
    </w:p>
    <w:p>
      <w:pPr>
        <w:spacing w:before="200"/>
      </w:pPr>
      <w:r>
        <w:rPr>
          <w:b/>
          <w:color w:val="2B5F8E"/>
          <w:sz w:val="23"/>
        </w:rPr>
        <w:t>CI-01: Preserve Cumberland Valley's strengths</w:t>
      </w:r>
    </w:p>
    <w:p>
      <w:r>
        <w:t>Cumberland Valley has grown successfully in a competitive market. It has capabilities ACME wants. The cultural things being retained explicitly: staff autonomy in clinical decision-making, flexibility in member services, the pace of decision-making in the field. These are not going to change; they are being maintained as strategic assets.</w:t>
      </w:r>
    </w:p>
    <w:p>
      <w:pPr>
        <w:spacing w:before="200"/>
      </w:pPr>
      <w:r>
        <w:rPr>
          <w:b/>
          <w:color w:val="2B5F8E"/>
          <w:sz w:val="23"/>
        </w:rPr>
        <w:t>CI-02: Adopt ACME's operational discipline</w:t>
      </w:r>
    </w:p>
    <w:p>
      <w:r>
        <w:t>ACME is larger and operates with more rigor. The things being changed: configuration governance (the discipline of change control on systems), financial reconciliation (the monthly close is non-negotiable), reporting accuracy and timeliness. These are not cultural, they are operational discipline. The message is: these rules apply everywhere, and they exist because they prevent expensive mistakes.</w:t>
      </w:r>
    </w:p>
    <w:p>
      <w:pPr>
        <w:spacing w:before="200"/>
      </w:pPr>
      <w:r>
        <w:rPr>
          <w:b/>
          <w:color w:val="2B5F8E"/>
          <w:sz w:val="23"/>
        </w:rPr>
        <w:t>CI-03: Co-design the decision-making model</w:t>
      </w:r>
    </w:p>
    <w:p>
      <w:r>
        <w:t>Cumberland Valley decides some things faster; ACME consults more broadly. Neither is universally right. The combined organization will define where decisions are made (senior leader, business unit, work group), when consultation is required, and how escalation works. This is designed rather than evolved.</w:t>
      </w:r>
    </w:p>
    <w:p>
      <w:pPr>
        <w:spacing w:before="320"/>
      </w:pPr>
      <w:r>
        <w:rPr>
          <w:b/>
          <w:color w:val="12304A"/>
          <w:sz w:val="28"/>
        </w:rPr>
        <w:t>9. Engagement and Messaging</w:t>
      </w:r>
    </w:p>
    <w:p>
      <w:r>
        <w:t>Change engagement is not a communications exercise. It is the work of making sure that people at every level understand why the change is happening, what it means for them, and how they can influence the outcome.</w:t>
      </w:r>
    </w:p>
    <w:p>
      <w:pPr>
        <w:spacing w:before="200"/>
      </w:pPr>
      <w:r>
        <w:rPr>
          <w:b/>
          <w:color w:val="2B5F8E"/>
          <w:sz w:val="23"/>
        </w:rPr>
        <w:t>The message architecture</w:t>
      </w:r>
    </w:p>
    <w:p>
      <w:r>
        <w:t>Executive messaging focuses on strategy: why we are doing this, what we are building together. Manager messaging focuses on impact: what changes for your group, who to contact. Individual messaging focuses on choice: what happens to your role, what are your options. All three messages are true; they emphasize different aspects of the same reality.</w:t>
      </w:r>
    </w:p>
    <w:p>
      <w:pPr>
        <w:spacing w:before="200"/>
      </w:pPr>
      <w:r>
        <w:rPr>
          <w:b/>
          <w:color w:val="2B5F8E"/>
          <w:sz w:val="23"/>
        </w:rPr>
        <w:t>ENG-01: Town halls at close and Day 100</w:t>
      </w:r>
    </w:p>
    <w:p>
      <w:r>
        <w:t>Pre-close (one week before close) and post-close (one week after Day 1), leadership conducts employee town halls at both organizations. The pre-close meeting focuses on: the transaction is happening, closing is imminent, your role after closing is [specific thing], and here is how to reach HR with questions. The post-close meeting focuses on: we are now one organization, here is what has changed this week, here is what is still being decided, and here is what you can do about it.</w:t>
      </w:r>
    </w:p>
    <w:p>
      <w:pPr>
        <w:spacing w:before="200"/>
      </w:pPr>
      <w:r>
        <w:rPr>
          <w:b/>
          <w:color w:val="2B5F8E"/>
          <w:sz w:val="23"/>
        </w:rPr>
        <w:t>ENG-02: Manager briefings before town halls</w:t>
      </w:r>
    </w:p>
    <w:p>
      <w:r>
        <w:t>Every manager receives a briefing package 24 hours before a town hall. The package includes: the talking points, the likely questions, the answers to the questions managers do not know how to answer (escalate to HR). The aim is for every manager to be able to walk their team through what the organization is saying, not to have the organization say things the managers are hearing for the first time.</w:t>
      </w:r>
    </w:p>
    <w:p>
      <w:pPr>
        <w:spacing w:before="120"/>
        <w:ind w:left="360"/>
      </w:pPr>
      <w:r>
        <w:rPr>
          <w:i/>
          <w:color w:val="12304A"/>
          <w:sz w:val="20"/>
        </w:rPr>
        <w:t>A town hall without manager preparation produces a room of managers who are learning their own future from a slide deck along with everyone else. The follow-up conversation with their team is therefore "I don't know, let me ask" rather than "Here is how this works." Manager credibility is the most valuable currency in a change; using the manager briefing to protect it is more important than any other aspect of the engagement plan.</w:t>
      </w:r>
    </w:p>
    <w:p>
      <w:pPr>
        <w:spacing w:before="200"/>
      </w:pPr>
      <w:r>
        <w:rPr>
          <w:b/>
          <w:color w:val="2B5F8E"/>
          <w:sz w:val="23"/>
        </w:rPr>
        <w:t>ENG-03: The sixty-day pulse check</w:t>
      </w:r>
    </w:p>
    <w:p>
      <w:r>
        <w:t>Sixty days post-close, a brief pulse survey asks: do you understand your role in the combined organization, do you know who your leader is, do you have what you need to do your job, are you considering leaving. The survey is voluntary and confidential. Results are reported to leadership by business unit with themes identified. This is the first data point on whether the organizational structure is actually working or just sounds good on the chart.</w:t>
      </w:r>
    </w:p>
    <w:p>
      <w:pPr>
        <w:spacing w:before="320"/>
      </w:pPr>
      <w:r>
        <w:rPr>
          <w:b/>
          <w:color w:val="12304A"/>
          <w:sz w:val="28"/>
        </w:rPr>
        <w:t>10. Early Warning Signals</w:t>
      </w:r>
    </w:p>
    <w:p>
      <w:r>
        <w:t>The most dangerous period in an acquisition is not the cutover itself. It is the two-month window after things seem stable but people are making silent decisions about whether to stay. Turnover spikes appear three months later, when it is too late to respond.</w:t>
      </w:r>
    </w:p>
    <w:p>
      <w:pPr>
        <w:spacing w:before="200"/>
      </w:pPr>
      <w:r>
        <w:rPr>
          <w:b/>
          <w:color w:val="2B5F8E"/>
          <w:sz w:val="23"/>
        </w:rPr>
        <w:t>The early warning dashboard</w:t>
      </w:r>
    </w:p>
    <w:p>
      <w:r>
        <w:t>Weekly metrics reported to the IMO from Day 1 through Day 100:</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Metric</w:t>
            </w:r>
          </w:p>
        </w:tc>
        <w:tc>
          <w:tcPr>
            <w:tcW w:type="dxa" w:w="3216"/>
          </w:tcPr>
          <w:p>
            <w:r>
              <w:rPr>
                <w:b/>
                <w:sz w:val="17"/>
              </w:rPr>
              <w:t>Red threshold</w:t>
            </w:r>
          </w:p>
        </w:tc>
        <w:tc>
          <w:tcPr>
            <w:tcW w:type="dxa" w:w="3216"/>
          </w:tcPr>
          <w:p>
            <w:r>
              <w:rPr>
                <w:b/>
                <w:sz w:val="17"/>
              </w:rPr>
              <w:t>Owner</w:t>
            </w:r>
          </w:p>
        </w:tc>
      </w:tr>
      <w:tr>
        <w:tc>
          <w:tcPr>
            <w:tcW w:type="dxa" w:w="3216"/>
          </w:tcPr>
          <w:p>
            <w:r>
              <w:rPr>
                <w:sz w:val="17"/>
              </w:rPr>
              <w:t>Voluntary terminations in named knowledge-transfer roles</w:t>
            </w:r>
          </w:p>
        </w:tc>
        <w:tc>
          <w:tcPr>
            <w:tcW w:type="dxa" w:w="3216"/>
          </w:tcPr>
          <w:p>
            <w:r>
              <w:rPr>
                <w:sz w:val="17"/>
              </w:rPr>
              <w:t>&gt; 1 per week</w:t>
            </w:r>
          </w:p>
        </w:tc>
        <w:tc>
          <w:tcPr>
            <w:tcW w:type="dxa" w:w="3216"/>
          </w:tcPr>
          <w:p>
            <w:r>
              <w:rPr>
                <w:sz w:val="17"/>
              </w:rPr>
              <w:t>T. Vandiver</w:t>
            </w:r>
          </w:p>
        </w:tc>
      </w:tr>
      <w:tr>
        <w:tc>
          <w:tcPr>
            <w:tcW w:type="dxa" w:w="3216"/>
          </w:tcPr>
          <w:p>
            <w:r>
              <w:rPr>
                <w:sz w:val="17"/>
              </w:rPr>
              <w:t>Headcount in post-close analysis functions (configuration, data, stewards)</w:t>
            </w:r>
          </w:p>
        </w:tc>
        <w:tc>
          <w:tcPr>
            <w:tcW w:type="dxa" w:w="3216"/>
          </w:tcPr>
          <w:p>
            <w:r>
              <w:rPr>
                <w:sz w:val="17"/>
              </w:rPr>
              <w:t>&lt; 85% of plan</w:t>
            </w:r>
          </w:p>
        </w:tc>
        <w:tc>
          <w:tcPr>
            <w:tcW w:type="dxa" w:w="3216"/>
          </w:tcPr>
          <w:p>
            <w:r>
              <w:rPr>
                <w:sz w:val="17"/>
              </w:rPr>
              <w:t>R. Lattimore</w:t>
            </w:r>
          </w:p>
        </w:tc>
      </w:tr>
      <w:tr>
        <w:tc>
          <w:tcPr>
            <w:tcW w:type="dxa" w:w="3216"/>
          </w:tcPr>
          <w:p>
            <w:r>
              <w:rPr>
                <w:sz w:val="17"/>
              </w:rPr>
              <w:t>Open job requisitions for critical roles aging &gt; 30 days</w:t>
            </w:r>
          </w:p>
        </w:tc>
        <w:tc>
          <w:tcPr>
            <w:tcW w:type="dxa" w:w="3216"/>
          </w:tcPr>
          <w:p>
            <w:r>
              <w:rPr>
                <w:sz w:val="17"/>
              </w:rPr>
              <w:t>&gt; 2</w:t>
            </w:r>
          </w:p>
        </w:tc>
        <w:tc>
          <w:tcPr>
            <w:tcW w:type="dxa" w:w="3216"/>
          </w:tcPr>
          <w:p>
            <w:r>
              <w:rPr>
                <w:sz w:val="17"/>
              </w:rPr>
              <w:t>T. Vandiver</w:t>
            </w:r>
          </w:p>
        </w:tc>
      </w:tr>
      <w:tr>
        <w:tc>
          <w:tcPr>
            <w:tcW w:type="dxa" w:w="3216"/>
          </w:tcPr>
          <w:p>
            <w:r>
              <w:rPr>
                <w:sz w:val="17"/>
              </w:rPr>
              <w:t>Knowledge transfer sign-off completion rate (reverse shadowing acceptance)</w:t>
            </w:r>
          </w:p>
        </w:tc>
        <w:tc>
          <w:tcPr>
            <w:tcW w:type="dxa" w:w="3216"/>
          </w:tcPr>
          <w:p>
            <w:r>
              <w:rPr>
                <w:sz w:val="17"/>
              </w:rPr>
              <w:t>&lt; 85%</w:t>
            </w:r>
          </w:p>
        </w:tc>
        <w:tc>
          <w:tcPr>
            <w:tcW w:type="dxa" w:w="3216"/>
          </w:tcPr>
          <w:p>
            <w:r>
              <w:rPr>
                <w:sz w:val="17"/>
              </w:rPr>
              <w:t>KT owner</w:t>
            </w:r>
          </w:p>
        </w:tc>
      </w:tr>
      <w:tr>
        <w:tc>
          <w:tcPr>
            <w:tcW w:type="dxa" w:w="3216"/>
          </w:tcPr>
          <w:p>
            <w:r>
              <w:rPr>
                <w:sz w:val="17"/>
              </w:rPr>
              <w:t>System availability during parallel run (target 99.5%)</w:t>
            </w:r>
          </w:p>
        </w:tc>
        <w:tc>
          <w:tcPr>
            <w:tcW w:type="dxa" w:w="3216"/>
          </w:tcPr>
          <w:p>
            <w:r>
              <w:rPr>
                <w:sz w:val="17"/>
              </w:rPr>
              <w:t>&lt; 99%</w:t>
            </w:r>
          </w:p>
        </w:tc>
        <w:tc>
          <w:tcPr>
            <w:tcW w:type="dxa" w:w="3216"/>
          </w:tcPr>
          <w:p>
            <w:r>
              <w:rPr>
                <w:sz w:val="17"/>
              </w:rPr>
              <w:t>B. Trammell</w:t>
            </w:r>
          </w:p>
        </w:tc>
      </w:tr>
    </w:tbl>
    <w:p/>
    <w:p>
      <w:pPr>
        <w:spacing w:before="120"/>
        <w:ind w:left="360"/>
      </w:pPr>
      <w:r>
        <w:rPr>
          <w:i/>
          <w:color w:val="12304A"/>
          <w:sz w:val="20"/>
        </w:rPr>
        <w:t>These thresholds are not recommendations; they are the boundaries of acceptable performance. Below the threshold, the workstream lead has three business days to report the cause and the recovery plan to the IMO. A cause without a recovery plan is a risk register item with an owner; a recovery plan without a cause is a hope. The threshold exists to make both visible before Day 100 arrives.</w:t>
      </w:r>
    </w:p>
    <w:p>
      <w:r>
        <w:t>Related artifacts: Charter (1) · Deal Summary (2) · Retention &amp; Key Talent (19) · Communications Plan (17) · Organization Chart (15) · Resource Plan (14) · RAIDD Log (16) · Integration Management Plan (9)</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