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EXECUTION PLAN · ARTIFACT 35 ·</w:t>
      </w:r>
    </w:p>
    <w:p>
      <w:r>
        <w:rPr>
          <w:b/>
          <w:color w:val="12304A"/>
          <w:sz w:val="44"/>
        </w:rPr>
        <w:t>Cloud Migration Wave Plan</w:t>
      </w:r>
    </w:p>
    <w:p>
      <w:r>
        <w:rPr>
          <w:i/>
          <w:color w:val="6B7280"/>
          <w:sz w:val="17"/>
        </w:rPr>
        <w:t>Illustrative program data — created to demonstrate M&amp;A integration program management practice. ACME Health, Cumberland Valley Health Plan, Cheatham Mutual Holdings and Rutherford Cloud Operations are fictional entities; no real transaction, rate, or member data is represented.</w:t>
      </w:r>
    </w:p>
    <w:p/>
    <w:p>
      <w:r>
        <w:t>Everything Cumberland Valley runs must leave Cheatham Mutual's data center before September 30, 2024, when TS-05 exits. This plan sequences that evacuation into five waves, each with entry conditions, exit evidence and a rollback position — and it opens with the arithmetic that determines whether the plan is possible at all. Issued December 4, 2023, after landing zone acceptance.</w:t>
      </w:r>
    </w:p>
    <w:p>
      <w:pPr>
        <w:spacing w:before="120"/>
        <w:ind w:left="360"/>
      </w:pPr>
      <w:r>
        <w:rPr>
          <w:i/>
          <w:color w:val="12304A"/>
          <w:sz w:val="20"/>
        </w:rPr>
        <w:t>A wave plan is a sequencing document, and the sequence is set by dependency and risk rather than by convenience or by which team is ready. Wave 1 is chosen because it proves the path, not because it delivers value. The last wave is gated by member identity resolution rather than by anything infrastructure controls. In between, the rollback window narrows with every wave — and knowing where it closes is the difference between a migration and a gamble.</w:t>
      </w:r>
    </w:p>
    <w:p>
      <w:pPr>
        <w:spacing w:before="320"/>
      </w:pPr>
      <w:r>
        <w:rPr>
          <w:b/>
          <w:color w:val="12304A"/>
          <w:sz w:val="28"/>
        </w:rPr>
        <w:t>1. Egress Arithmetic</w:t>
      </w:r>
    </w:p>
    <w:p>
      <w:r>
        <w:t>Before sequencing anything, the plan answers one question: does the data physically fit through the available connection inside the window? It is a calculation anyone can do on day one, and it is the single most common source of late-discovered schedule failure in a data center exit.</w:t>
      </w:r>
    </w:p>
    <w:p>
      <w:pPr>
        <w:spacing w:before="120"/>
        <w:ind w:left="360"/>
      </w:pPr>
      <w:r>
        <w:rPr>
          <w:i/>
          <w:color w:val="12304A"/>
          <w:sz w:val="20"/>
        </w:rPr>
        <w:t>Seventy-eight days assumes the transfer never stops, never contends with production, never fails, and never re-transmits. None of those hold. With realistic contention and retry, the archive alone consumes five to six months of the migration window — leaving the operational estate, the waves, the testing and the cutover to share what remains of ten. The archive does not go over the wire.</w:t>
      </w:r>
    </w:p>
    <w:p>
      <w:pPr>
        <w:spacing w:before="200"/>
      </w:pPr>
      <w:r>
        <w:rPr>
          <w:b/>
          <w:color w:val="2B5F8E"/>
          <w:sz w:val="23"/>
        </w:rPr>
        <w:t>1.1 The physical transfer decision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Input</w:t>
            </w:r>
          </w:p>
        </w:tc>
        <w:tc>
          <w:tcPr>
            <w:tcW w:type="dxa" w:w="3216"/>
          </w:tcPr>
          <w:p>
            <w:r>
              <w:rPr>
                <w:b/>
                <w:sz w:val="17"/>
              </w:rPr>
              <w:t>Value</w:t>
            </w:r>
          </w:p>
        </w:tc>
        <w:tc>
          <w:tcPr>
            <w:tcW w:type="dxa" w:w="3216"/>
          </w:tcPr>
          <w:p>
            <w:r>
              <w:rPr>
                <w:b/>
                <w:sz w:val="17"/>
              </w:rPr>
              <w:t>Note</w:t>
            </w:r>
          </w:p>
        </w:tc>
      </w:tr>
      <w:tr>
        <w:tc>
          <w:tcPr>
            <w:tcW w:type="dxa" w:w="3216"/>
          </w:tcPr>
          <w:p>
            <w:r>
              <w:rPr>
                <w:sz w:val="17"/>
              </w:rPr>
              <w:t>Archive to move</w:t>
            </w:r>
          </w:p>
        </w:tc>
        <w:tc>
          <w:tcPr>
            <w:tcW w:type="dxa" w:w="3216"/>
          </w:tcPr>
          <w:p>
            <w:r>
              <w:rPr>
                <w:sz w:val="17"/>
              </w:rPr>
              <w:t>340 TB</w:t>
            </w:r>
          </w:p>
        </w:tc>
        <w:tc>
          <w:tcPr>
            <w:tcW w:type="dxa" w:w="3216"/>
          </w:tcPr>
          <w:p>
            <w:r>
              <w:rPr>
                <w:sz w:val="17"/>
              </w:rPr>
              <w:t>Cold; no incremental change during transit</w:t>
            </w:r>
          </w:p>
        </w:tc>
      </w:tr>
      <w:tr>
        <w:tc>
          <w:tcPr>
            <w:tcW w:type="dxa" w:w="3216"/>
          </w:tcPr>
          <w:p>
            <w:r>
              <w:rPr>
                <w:sz w:val="17"/>
              </w:rPr>
              <w:t>Usable capacity per appliance</w:t>
            </w:r>
          </w:p>
        </w:tc>
        <w:tc>
          <w:tcPr>
            <w:tcW w:type="dxa" w:w="3216"/>
          </w:tcPr>
          <w:p>
            <w:r>
              <w:rPr>
                <w:sz w:val="17"/>
              </w:rPr>
              <w:t>80 TB</w:t>
            </w:r>
          </w:p>
        </w:tc>
        <w:tc>
          <w:tcPr>
            <w:tcW w:type="dxa" w:w="3216"/>
          </w:tcPr>
          <w:p>
            <w:r>
              <w:rPr>
                <w:sz w:val="17"/>
              </w:rPr>
              <w:t>After encryption overhead</w:t>
            </w:r>
          </w:p>
        </w:tc>
      </w:tr>
      <w:tr>
        <w:tc>
          <w:tcPr>
            <w:tcW w:type="dxa" w:w="3216"/>
          </w:tcPr>
          <w:p>
            <w:r>
              <w:rPr>
                <w:sz w:val="17"/>
              </w:rPr>
              <w:t>Appliances required</w:t>
            </w:r>
          </w:p>
        </w:tc>
        <w:tc>
          <w:tcPr>
            <w:tcW w:type="dxa" w:w="3216"/>
          </w:tcPr>
          <w:p>
            <w:r>
              <w:rPr>
                <w:sz w:val="17"/>
              </w:rPr>
              <w:t>5</w:t>
            </w:r>
          </w:p>
        </w:tc>
        <w:tc>
          <w:tcPr>
            <w:tcW w:type="dxa" w:w="3216"/>
          </w:tcPr>
          <w:p>
            <w:r>
              <w:rPr>
                <w:sz w:val="17"/>
              </w:rPr>
              <w:t>Run in parallel, not in series</w:t>
            </w:r>
          </w:p>
        </w:tc>
      </w:tr>
      <w:tr>
        <w:tc>
          <w:tcPr>
            <w:tcW w:type="dxa" w:w="3216"/>
          </w:tcPr>
          <w:p>
            <w:r>
              <w:rPr>
                <w:sz w:val="17"/>
              </w:rPr>
              <w:t>Turnaround per appliance</w:t>
            </w:r>
          </w:p>
        </w:tc>
        <w:tc>
          <w:tcPr>
            <w:tcW w:type="dxa" w:w="3216"/>
          </w:tcPr>
          <w:p>
            <w:r>
              <w:rPr>
                <w:sz w:val="17"/>
              </w:rPr>
              <w:t>18 days</w:t>
            </w:r>
          </w:p>
        </w:tc>
        <w:tc>
          <w:tcPr>
            <w:tcW w:type="dxa" w:w="3216"/>
          </w:tcPr>
          <w:p>
            <w:r>
              <w:rPr>
                <w:sz w:val="17"/>
              </w:rPr>
              <w:t>Ship, ingest, verify, return</w:t>
            </w:r>
          </w:p>
        </w:tc>
      </w:tr>
    </w:tbl>
    <w:p/>
    <w:p>
      <w:pPr>
        <w:spacing w:before="120"/>
        <w:ind w:left="360"/>
      </w:pPr>
      <w:r>
        <w:rPr>
          <w:i/>
          <w:color w:val="12304A"/>
          <w:sz w:val="20"/>
        </w:rPr>
        <w:t>Physical transfer works here for one reason that will not always apply: the archive is cold. Nothing writes to fifteen-year-old claims images, so an appliance can be filled, shipped and ingested without a reconciliation problem — whatever was on it when it left is still current when it arrives. Operational data cannot move this way, because it changes while the box is in transit, which is why the 80 TB operational estate moves over the wire inside its waves and only the archive goes by appliance.</w:t>
      </w:r>
    </w:p>
    <w:p>
      <w:pPr>
        <w:spacing w:before="120"/>
        <w:ind w:left="360"/>
      </w:pPr>
      <w:r>
        <w:rPr>
          <w:i/>
          <w:color w:val="12304A"/>
          <w:sz w:val="20"/>
        </w:rPr>
        <w:t>The point worth carrying out of this section: this calculation costs an afternoon and it is the difference between a plan and a hope. The failure mode is not doing it — it is doing it in month eight, when the transfer is visibly not keeping pace, the appliance lead time is six weeks, and the data center lease does not move. Everything about the wave schedule below is downstream of this arithmetic.</w:t>
      </w:r>
    </w:p>
    <w:p>
      <w:pPr>
        <w:spacing w:before="320"/>
      </w:pPr>
      <w:r>
        <w:rPr>
          <w:b/>
          <w:color w:val="12304A"/>
          <w:sz w:val="28"/>
        </w:rPr>
        <w:t>2. Wave Design Principles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Principle</w:t>
            </w:r>
          </w:p>
        </w:tc>
        <w:tc>
          <w:tcPr>
            <w:tcW w:type="dxa" w:w="4824"/>
          </w:tcPr>
          <w:p>
            <w:r>
              <w:rPr>
                <w:b/>
                <w:sz w:val="17"/>
              </w:rPr>
              <w:t>Reasoning</w:t>
            </w:r>
          </w:p>
        </w:tc>
      </w:tr>
      <w:tr>
        <w:tc>
          <w:tcPr>
            <w:tcW w:type="dxa" w:w="4824"/>
          </w:tcPr>
          <w:p>
            <w:r>
              <w:rPr>
                <w:sz w:val="17"/>
              </w:rPr>
              <w:t>Wave 1 proves the path, not the value</w:t>
            </w:r>
          </w:p>
        </w:tc>
        <w:tc>
          <w:tcPr>
            <w:tcW w:type="dxa" w:w="4824"/>
          </w:tcPr>
          <w:p>
            <w:r>
              <w:rPr>
                <w:sz w:val="17"/>
              </w:rPr>
              <w:t>The first wave's purpose is to exercise the runbook, the tooling, the cutover process and the rollback — on something the business can afford to have go badly</w:t>
            </w:r>
          </w:p>
        </w:tc>
      </w:tr>
      <w:tr>
        <w:tc>
          <w:tcPr>
            <w:tcW w:type="dxa" w:w="4824"/>
          </w:tcPr>
          <w:p>
            <w:r>
              <w:rPr>
                <w:sz w:val="17"/>
              </w:rPr>
              <w:t>Dependencies before dependants</w:t>
            </w:r>
          </w:p>
        </w:tc>
        <w:tc>
          <w:tcPr>
            <w:tcW w:type="dxa" w:w="4824"/>
          </w:tcPr>
          <w:p>
            <w:r>
              <w:rPr>
                <w:sz w:val="17"/>
              </w:rPr>
              <w:t>Identity and network before the workloads that need them. Shared services before consumers.</w:t>
            </w:r>
          </w:p>
        </w:tc>
      </w:tr>
      <w:tr>
        <w:tc>
          <w:tcPr>
            <w:tcW w:type="dxa" w:w="4824"/>
          </w:tcPr>
          <w:p>
            <w:r>
              <w:rPr>
                <w:sz w:val="17"/>
              </w:rPr>
              <w:t>Risk ascends</w:t>
            </w:r>
          </w:p>
        </w:tc>
        <w:tc>
          <w:tcPr>
            <w:tcW w:type="dxa" w:w="4824"/>
          </w:tcPr>
          <w:p>
            <w:r>
              <w:rPr>
                <w:sz w:val="17"/>
              </w:rPr>
              <w:t>⚠ Each wave is harder than the last, so capability grows alongside difficulty rather than being tested by it</w:t>
            </w:r>
          </w:p>
        </w:tc>
      </w:tr>
      <w:tr>
        <w:tc>
          <w:tcPr>
            <w:tcW w:type="dxa" w:w="4824"/>
          </w:tcPr>
          <w:p>
            <w:r>
              <w:rPr>
                <w:sz w:val="17"/>
              </w:rPr>
              <w:t>One wave in flight at a time</w:t>
            </w:r>
          </w:p>
        </w:tc>
        <w:tc>
          <w:tcPr>
            <w:tcW w:type="dxa" w:w="4824"/>
          </w:tcPr>
          <w:p>
            <w:r>
              <w:rPr>
                <w:sz w:val="17"/>
              </w:rPr>
              <w:t>Parallel waves share the same scarce people. Two half-finished waves is worse than one finished one.</w:t>
            </w:r>
          </w:p>
        </w:tc>
      </w:tr>
      <w:tr>
        <w:tc>
          <w:tcPr>
            <w:tcW w:type="dxa" w:w="4824"/>
          </w:tcPr>
          <w:p>
            <w:r>
              <w:rPr>
                <w:sz w:val="17"/>
              </w:rPr>
              <w:t>Every wave has a rollback position</w:t>
            </w:r>
          </w:p>
        </w:tc>
        <w:tc>
          <w:tcPr>
            <w:tcW w:type="dxa" w:w="4824"/>
          </w:tcPr>
          <w:p>
            <w:r>
              <w:rPr>
                <w:sz w:val="17"/>
              </w:rPr>
              <w:t>Until it does not — and Section 5 states exactly where that line is</w:t>
            </w:r>
          </w:p>
        </w:tc>
      </w:tr>
      <w:tr>
        <w:tc>
          <w:tcPr>
            <w:tcW w:type="dxa" w:w="4824"/>
          </w:tcPr>
          <w:p>
            <w:r>
              <w:rPr>
                <w:sz w:val="17"/>
              </w:rPr>
              <w:t>Exit is evidenced, not declared</w:t>
            </w:r>
          </w:p>
        </w:tc>
        <w:tc>
          <w:tcPr>
            <w:tcW w:type="dxa" w:w="4824"/>
          </w:tcPr>
          <w:p>
            <w:r>
              <w:rPr>
                <w:sz w:val="17"/>
              </w:rPr>
              <w:t>Including a restore test. A workload that has never been recovered in its new home is not migrated, it is copied.</w:t>
            </w:r>
          </w:p>
        </w:tc>
      </w:tr>
    </w:tbl>
    <w:p/>
    <w:p>
      <w:pPr>
        <w:spacing w:before="120"/>
        <w:ind w:left="360"/>
      </w:pPr>
      <w:r>
        <w:rPr>
          <w:i/>
          <w:color w:val="12304A"/>
          <w:sz w:val="20"/>
        </w:rPr>
        <w:t>"Wave 1 proves the path, not the value" is the principle most often overridden, and overriding it is a false economy. There is always pressure to start with something that matters, because the TSA meter is running and a low-value first wave looks like wasted weeks. But the first wave is where the runbook is wrong, the tooling has a gap, the network rule was missed and the rollback has never been rehearsed. Discovering all of that on a system nobody depends on costs days. Discovering it on claims adjudication costs the program.</w:t>
      </w:r>
    </w:p>
    <w:p>
      <w:pPr>
        <w:spacing w:before="320"/>
      </w:pPr>
      <w:r>
        <w:rPr>
          <w:b/>
          <w:color w:val="12304A"/>
          <w:sz w:val="28"/>
        </w:rPr>
        <w:t>3. Wave Schedule</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Wave</w:t>
            </w:r>
          </w:p>
        </w:tc>
        <w:tc>
          <w:tcPr>
            <w:tcW w:type="dxa" w:w="1930"/>
          </w:tcPr>
          <w:p>
            <w:r>
              <w:rPr>
                <w:b/>
                <w:sz w:val="17"/>
              </w:rPr>
              <w:t>Contents</w:t>
            </w:r>
          </w:p>
        </w:tc>
        <w:tc>
          <w:tcPr>
            <w:tcW w:type="dxa" w:w="1930"/>
          </w:tcPr>
          <w:p>
            <w:r>
              <w:rPr>
                <w:b/>
                <w:sz w:val="17"/>
              </w:rPr>
              <w:t>Volume</w:t>
            </w:r>
          </w:p>
        </w:tc>
        <w:tc>
          <w:tcPr>
            <w:tcW w:type="dxa" w:w="1930"/>
          </w:tcPr>
          <w:p>
            <w:r>
              <w:rPr>
                <w:b/>
                <w:sz w:val="17"/>
              </w:rPr>
              <w:t>Window</w:t>
            </w:r>
          </w:p>
        </w:tc>
        <w:tc>
          <w:tcPr>
            <w:tcW w:type="dxa" w:w="1930"/>
          </w:tcPr>
          <w:p>
            <w:r>
              <w:rPr>
                <w:b/>
                <w:sz w:val="17"/>
              </w:rPr>
              <w:t>Gated by</w:t>
            </w:r>
          </w:p>
        </w:tc>
      </w:tr>
      <w:tr>
        <w:tc>
          <w:tcPr>
            <w:tcW w:type="dxa" w:w="1930"/>
          </w:tcPr>
          <w:p>
            <w:r>
              <w:rPr>
                <w:sz w:val="17"/>
              </w:rPr>
              <w:t>W-0</w:t>
            </w:r>
          </w:p>
        </w:tc>
        <w:tc>
          <w:tcPr>
            <w:tcW w:type="dxa" w:w="1930"/>
          </w:tcPr>
          <w:p>
            <w:r>
              <w:rPr>
                <w:sz w:val="17"/>
              </w:rPr>
              <w:t>Archive bulk transfer — historical claims, images, correspondence</w:t>
            </w:r>
          </w:p>
        </w:tc>
        <w:tc>
          <w:tcPr>
            <w:tcW w:type="dxa" w:w="1930"/>
          </w:tcPr>
          <w:p>
            <w:r>
              <w:rPr>
                <w:sz w:val="17"/>
              </w:rPr>
              <w:t>340 TB</w:t>
            </w:r>
          </w:p>
        </w:tc>
        <w:tc>
          <w:tcPr>
            <w:tcW w:type="dxa" w:w="1930"/>
          </w:tcPr>
          <w:p>
            <w:r>
              <w:rPr>
                <w:sz w:val="17"/>
              </w:rPr>
              <w:t>Dec 2023 – Mar 2024</w:t>
            </w:r>
          </w:p>
        </w:tc>
        <w:tc>
          <w:tcPr>
            <w:tcW w:type="dxa" w:w="1930"/>
          </w:tcPr>
          <w:p>
            <w:r>
              <w:rPr>
                <w:sz w:val="17"/>
              </w:rPr>
              <w:t>Landing zone accepted; appliances provisioned. ⭐ Runs in parallel with W-1 and W-2 — it needs shipping, not people.</w:t>
            </w:r>
          </w:p>
        </w:tc>
      </w:tr>
      <w:tr>
        <w:tc>
          <w:tcPr>
            <w:tcW w:type="dxa" w:w="1930"/>
          </w:tcPr>
          <w:p>
            <w:r>
              <w:rPr>
                <w:sz w:val="17"/>
              </w:rPr>
              <w:t>W-1</w:t>
            </w:r>
          </w:p>
        </w:tc>
        <w:tc>
          <w:tcPr>
            <w:tcW w:type="dxa" w:w="1930"/>
          </w:tcPr>
          <w:p>
            <w:r>
              <w:rPr>
                <w:sz w:val="17"/>
              </w:rPr>
              <w:t>Non-production environments; utility servers; file shares</w:t>
            </w:r>
          </w:p>
        </w:tc>
        <w:tc>
          <w:tcPr>
            <w:tcW w:type="dxa" w:w="1930"/>
          </w:tcPr>
          <w:p>
            <w:r>
              <w:rPr>
                <w:sz w:val="17"/>
              </w:rPr>
              <w:t>12 TB</w:t>
            </w:r>
          </w:p>
        </w:tc>
        <w:tc>
          <w:tcPr>
            <w:tcW w:type="dxa" w:w="1930"/>
          </w:tcPr>
          <w:p>
            <w:r>
              <w:rPr>
                <w:sz w:val="17"/>
              </w:rPr>
              <w:t>Jan 2024</w:t>
            </w:r>
          </w:p>
        </w:tc>
        <w:tc>
          <w:tcPr>
            <w:tcW w:type="dxa" w:w="1930"/>
          </w:tcPr>
          <w:p>
            <w:r>
              <w:rPr>
                <w:sz w:val="17"/>
              </w:rPr>
              <w:t>Landing zone acceptance gate (LZ-01..LZ-10)</w:t>
            </w:r>
          </w:p>
        </w:tc>
      </w:tr>
      <w:tr>
        <w:tc>
          <w:tcPr>
            <w:tcW w:type="dxa" w:w="1930"/>
          </w:tcPr>
          <w:p>
            <w:r>
              <w:rPr>
                <w:sz w:val="17"/>
              </w:rPr>
              <w:t>W-2</w:t>
            </w:r>
          </w:p>
        </w:tc>
        <w:tc>
          <w:tcPr>
            <w:tcW w:type="dxa" w:w="1930"/>
          </w:tcPr>
          <w:p>
            <w:r>
              <w:rPr>
                <w:sz w:val="17"/>
              </w:rPr>
              <w:t>Reporting, document management, internal tools</w:t>
            </w:r>
          </w:p>
        </w:tc>
        <w:tc>
          <w:tcPr>
            <w:tcW w:type="dxa" w:w="1930"/>
          </w:tcPr>
          <w:p>
            <w:r>
              <w:rPr>
                <w:sz w:val="17"/>
              </w:rPr>
              <w:t>18 TB</w:t>
            </w:r>
          </w:p>
        </w:tc>
        <w:tc>
          <w:tcPr>
            <w:tcW w:type="dxa" w:w="1930"/>
          </w:tcPr>
          <w:p>
            <w:r>
              <w:rPr>
                <w:sz w:val="17"/>
              </w:rPr>
              <w:t>Feb – Mar 2024</w:t>
            </w:r>
          </w:p>
        </w:tc>
        <w:tc>
          <w:tcPr>
            <w:tcW w:type="dxa" w:w="1930"/>
          </w:tcPr>
          <w:p>
            <w:r>
              <w:rPr>
                <w:sz w:val="17"/>
              </w:rPr>
              <w:t>W-1 exit; monitoring proven in production</w:t>
            </w:r>
          </w:p>
        </w:tc>
      </w:tr>
      <w:tr>
        <w:tc>
          <w:tcPr>
            <w:tcW w:type="dxa" w:w="1930"/>
          </w:tcPr>
          <w:p>
            <w:r>
              <w:rPr>
                <w:sz w:val="17"/>
              </w:rPr>
              <w:t>W-3</w:t>
            </w:r>
          </w:p>
        </w:tc>
        <w:tc>
          <w:tcPr>
            <w:tcW w:type="dxa" w:w="1930"/>
          </w:tcPr>
          <w:p>
            <w:r>
              <w:rPr>
                <w:sz w:val="17"/>
              </w:rPr>
              <w:t>Care management platform (preserved per AD-07); utilization management</w:t>
            </w:r>
          </w:p>
        </w:tc>
        <w:tc>
          <w:tcPr>
            <w:tcW w:type="dxa" w:w="1930"/>
          </w:tcPr>
          <w:p>
            <w:r>
              <w:rPr>
                <w:sz w:val="17"/>
              </w:rPr>
              <w:t>14 TB</w:t>
            </w:r>
          </w:p>
        </w:tc>
        <w:tc>
          <w:tcPr>
            <w:tcW w:type="dxa" w:w="1930"/>
          </w:tcPr>
          <w:p>
            <w:r>
              <w:rPr>
                <w:sz w:val="17"/>
              </w:rPr>
              <w:t>Apr – May 2024</w:t>
            </w:r>
          </w:p>
        </w:tc>
        <w:tc>
          <w:tcPr>
            <w:tcW w:type="dxa" w:w="1930"/>
          </w:tcPr>
          <w:p>
            <w:r>
              <w:rPr>
                <w:sz w:val="17"/>
              </w:rPr>
              <w:t>W-2 exit. ⚠ First clinically significant workload.</w:t>
            </w:r>
          </w:p>
        </w:tc>
      </w:tr>
      <w:tr>
        <w:tc>
          <w:tcPr>
            <w:tcW w:type="dxa" w:w="1930"/>
          </w:tcPr>
          <w:p>
            <w:r>
              <w:rPr>
                <w:sz w:val="17"/>
              </w:rPr>
              <w:t>W-4</w:t>
            </w:r>
          </w:p>
        </w:tc>
        <w:tc>
          <w:tcPr>
            <w:tcW w:type="dxa" w:w="1930"/>
          </w:tcPr>
          <w:p>
            <w:r>
              <w:rPr>
                <w:sz w:val="17"/>
              </w:rPr>
              <w:t>Integration layer; interfaces; enterprise data warehouse</w:t>
            </w:r>
          </w:p>
        </w:tc>
        <w:tc>
          <w:tcPr>
            <w:tcW w:type="dxa" w:w="1930"/>
          </w:tcPr>
          <w:p>
            <w:r>
              <w:rPr>
                <w:sz w:val="17"/>
              </w:rPr>
              <w:t>22 TB</w:t>
            </w:r>
          </w:p>
        </w:tc>
        <w:tc>
          <w:tcPr>
            <w:tcW w:type="dxa" w:w="1930"/>
          </w:tcPr>
          <w:p>
            <w:r>
              <w:rPr>
                <w:sz w:val="17"/>
              </w:rPr>
              <w:t>Jun – Jul 2024</w:t>
            </w:r>
          </w:p>
        </w:tc>
        <w:tc>
          <w:tcPr>
            <w:tcW w:type="dxa" w:w="1930"/>
          </w:tcPr>
          <w:p>
            <w:r>
              <w:rPr>
                <w:sz w:val="17"/>
              </w:rPr>
              <w:t>W-3 exit; warehouse recovery gate satisfied</w:t>
            </w:r>
          </w:p>
        </w:tc>
      </w:tr>
      <w:tr>
        <w:tc>
          <w:tcPr>
            <w:tcW w:type="dxa" w:w="1930"/>
          </w:tcPr>
          <w:p>
            <w:r>
              <w:rPr>
                <w:sz w:val="17"/>
              </w:rPr>
              <w:t>W-5</w:t>
            </w:r>
          </w:p>
        </w:tc>
        <w:tc>
          <w:tcPr>
            <w:tcW w:type="dxa" w:w="1930"/>
          </w:tcPr>
          <w:p>
            <w:r>
              <w:rPr>
                <w:sz w:val="17"/>
              </w:rPr>
              <w:t>Core administration and enrollment — the last thing out</w:t>
            </w:r>
          </w:p>
        </w:tc>
        <w:tc>
          <w:tcPr>
            <w:tcW w:type="dxa" w:w="1930"/>
          </w:tcPr>
          <w:p>
            <w:r>
              <w:rPr>
                <w:sz w:val="17"/>
              </w:rPr>
              <w:t>14 TB</w:t>
            </w:r>
          </w:p>
        </w:tc>
        <w:tc>
          <w:tcPr>
            <w:tcW w:type="dxa" w:w="1930"/>
          </w:tcPr>
          <w:p>
            <w:r>
              <w:rPr>
                <w:sz w:val="17"/>
              </w:rPr>
              <w:t>Aug – Sep 2024</w:t>
            </w:r>
          </w:p>
        </w:tc>
        <w:tc>
          <w:tcPr>
            <w:tcW w:type="dxa" w:w="1930"/>
          </w:tcPr>
          <w:p>
            <w:r>
              <w:rPr>
                <w:sz w:val="17"/>
              </w:rPr>
              <w:t>⚠⚠ Member identity resolution complete. Not an infrastructure dependency.</w:t>
            </w:r>
          </w:p>
        </w:tc>
      </w:tr>
      <w:tr>
        <w:tc>
          <w:tcPr>
            <w:tcW w:type="dxa" w:w="1930"/>
          </w:tcPr>
          <w:p>
            <w:r>
              <w:rPr>
                <w:sz w:val="17"/>
              </w:rPr>
            </w:r>
          </w:p>
        </w:tc>
        <w:tc>
          <w:tcPr>
            <w:tcW w:type="dxa" w:w="1930"/>
          </w:tcPr>
          <w:p>
            <w:r>
              <w:rPr>
                <w:sz w:val="17"/>
              </w:rPr>
              <w:t>Total</w:t>
            </w:r>
          </w:p>
        </w:tc>
        <w:tc>
          <w:tcPr>
            <w:tcW w:type="dxa" w:w="1930"/>
          </w:tcPr>
          <w:p>
            <w:r>
              <w:rPr>
                <w:sz w:val="17"/>
              </w:rPr>
              <w:t>420 TB</w:t>
            </w:r>
          </w:p>
        </w:tc>
        <w:tc>
          <w:tcPr>
            <w:tcW w:type="dxa" w:w="1930"/>
          </w:tcPr>
          <w:p>
            <w:r>
              <w:rPr>
                <w:sz w:val="17"/>
              </w:rPr>
              <w:t>Dec 2023 – Sep 2024</w:t>
            </w:r>
          </w:p>
        </w:tc>
        <w:tc>
          <w:tcPr>
            <w:tcW w:type="dxa" w:w="1930"/>
          </w:tcPr>
          <w:p>
            <w:r>
              <w:rPr>
                <w:sz w:val="17"/>
              </w:rPr>
              <w:t>TS-05 data center exit</w:t>
            </w:r>
          </w:p>
        </w:tc>
      </w:tr>
    </w:tbl>
    <w:p/>
    <w:p>
      <w:pPr>
        <w:spacing w:before="120"/>
        <w:ind w:left="360"/>
      </w:pPr>
      <w:r>
        <w:rPr>
          <w:i/>
          <w:color w:val="12304A"/>
          <w:sz w:val="20"/>
        </w:rPr>
        <w:t>Wave 5 is the whole program compressed into one row, and its gate is not technical. Core administration cannot move until the target's members exist correctly in ACME's systems — which requires identity resolution, which requires the clerical review queue to be worked, which requires knowing how large that queue actually is. The last and most important wave is therefore paced by a number the Clean Team Protocol made unknowable until after closing, and no amount of infrastructure readiness moves it. Everything in W-1 through W-4 can be on schedule and W-5 can still be waiting.</w:t>
      </w:r>
    </w:p>
    <w:p>
      <w:pPr>
        <w:spacing w:before="120"/>
        <w:ind w:left="360"/>
      </w:pPr>
      <w:r>
        <w:rPr>
          <w:i/>
          <w:color w:val="12304A"/>
          <w:sz w:val="20"/>
        </w:rPr>
        <w:t>W-0 is deliberately not numbered in sequence, because it does not behave like a wave. It consumes shipping and logistics rather than engineering effort, it has no cutover, and it runs concurrently with W-1 and W-2 without competing for the same people. Treating the archive as a wave would serialize it behind work it does not depend on and consume months the schedule does not have.</w:t>
      </w:r>
    </w:p>
    <w:p>
      <w:pPr>
        <w:spacing w:before="320"/>
      </w:pPr>
      <w:r>
        <w:rPr>
          <w:b/>
          <w:color w:val="12304A"/>
          <w:sz w:val="28"/>
        </w:rPr>
        <w:t>4. Entry and Exit Criteria</w:t>
      </w:r>
    </w:p>
    <w:p>
      <w:pPr>
        <w:spacing w:before="200"/>
      </w:pPr>
      <w:r>
        <w:rPr>
          <w:b/>
          <w:color w:val="2B5F8E"/>
          <w:sz w:val="23"/>
        </w:rPr>
        <w:t>4.1 Entry — every wave</w:t>
      </w:r>
    </w:p>
    <w:p>
      <w:pPr>
        <w:pStyle w:val="ListBullet"/>
      </w:pPr>
      <w:r>
        <w:t>Previous wave exited with evidence, not with a status update</w:t>
      </w:r>
    </w:p>
    <w:p>
      <w:pPr>
        <w:pStyle w:val="ListBullet"/>
      </w:pPr>
      <w:r>
        <w:t>Runbook written, reviewed, and dry-run in non-production</w:t>
      </w:r>
    </w:p>
    <w:p>
      <w:pPr>
        <w:pStyle w:val="ListBullet"/>
      </w:pPr>
      <w:r>
        <w:t>Rollback procedure documented and rehearsed, not merely written</w:t>
      </w:r>
    </w:p>
    <w:p>
      <w:pPr>
        <w:pStyle w:val="ListBullet"/>
      </w:pPr>
      <w:r>
        <w:t>Business owner has accepted the cutover window and the communication plan</w:t>
      </w:r>
    </w:p>
    <w:p>
      <w:pPr>
        <w:pStyle w:val="ListBullet"/>
      </w:pPr>
      <w:r>
        <w:t>MSP and ACME on-call staffing confirmed for the window, by name</w:t>
      </w:r>
    </w:p>
    <w:p>
      <w:pPr>
        <w:pStyle w:val="ListBullet"/>
      </w:pPr>
      <w:r>
        <w:t>Interface impacts identified with the Integration Architect</w:t>
      </w:r>
    </w:p>
    <w:p>
      <w:pPr>
        <w:spacing w:before="200"/>
      </w:pPr>
      <w:r>
        <w:rPr>
          <w:b/>
          <w:color w:val="2B5F8E"/>
          <w:sz w:val="23"/>
        </w:rPr>
        <w:t>4.2 Exit — every wave</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Criterion</w:t>
            </w:r>
          </w:p>
        </w:tc>
        <w:tc>
          <w:tcPr>
            <w:tcW w:type="dxa" w:w="4824"/>
          </w:tcPr>
          <w:p>
            <w:r>
              <w:rPr>
                <w:b/>
                <w:sz w:val="17"/>
              </w:rPr>
              <w:t>Evidence</w:t>
            </w:r>
          </w:p>
        </w:tc>
      </w:tr>
      <w:tr>
        <w:tc>
          <w:tcPr>
            <w:tcW w:type="dxa" w:w="4824"/>
          </w:tcPr>
          <w:p>
            <w:r>
              <w:rPr>
                <w:sz w:val="17"/>
              </w:rPr>
              <w:t>Workloads operating in Azure at production load</w:t>
            </w:r>
          </w:p>
        </w:tc>
        <w:tc>
          <w:tcPr>
            <w:tcW w:type="dxa" w:w="4824"/>
          </w:tcPr>
          <w:p>
            <w:r>
              <w:rPr>
                <w:sz w:val="17"/>
              </w:rPr>
              <w:t>Performance measured against the pre-migration baseline, not against expectation</w:t>
            </w:r>
          </w:p>
        </w:tc>
      </w:tr>
      <w:tr>
        <w:tc>
          <w:tcPr>
            <w:tcW w:type="dxa" w:w="4824"/>
          </w:tcPr>
          <w:p>
            <w:r>
              <w:rPr>
                <w:sz w:val="17"/>
              </w:rPr>
              <w:t>Interfaces reconciled</w:t>
            </w:r>
          </w:p>
        </w:tc>
        <w:tc>
          <w:tcPr>
            <w:tcW w:type="dxa" w:w="4824"/>
          </w:tcPr>
          <w:p>
            <w:r>
              <w:rPr>
                <w:sz w:val="17"/>
              </w:rPr>
              <w:t>Control totals balance for a full processing cycle</w:t>
            </w:r>
          </w:p>
        </w:tc>
      </w:tr>
      <w:tr>
        <w:tc>
          <w:tcPr>
            <w:tcW w:type="dxa" w:w="4824"/>
          </w:tcPr>
          <w:p>
            <w:r>
              <w:rPr>
                <w:sz w:val="17"/>
              </w:rPr>
              <w:t>Policy compliance clean</w:t>
            </w:r>
          </w:p>
        </w:tc>
        <w:tc>
          <w:tcPr>
            <w:tcW w:type="dxa" w:w="4824"/>
          </w:tcPr>
          <w:p>
            <w:r>
              <w:rPr>
                <w:sz w:val="17"/>
              </w:rPr>
              <w:t>Zero non-compliant resources under the landing zone policy set</w:t>
            </w:r>
          </w:p>
        </w:tc>
      </w:tr>
      <w:tr>
        <w:tc>
          <w:tcPr>
            <w:tcW w:type="dxa" w:w="4824"/>
          </w:tcPr>
          <w:p>
            <w:r>
              <w:rPr>
                <w:sz w:val="17"/>
              </w:rPr>
              <w:t>Cost attributed</w:t>
            </w:r>
          </w:p>
        </w:tc>
        <w:tc>
          <w:tcPr>
            <w:tcW w:type="dxa" w:w="4824"/>
          </w:tcPr>
          <w:p>
            <w:r>
              <w:rPr>
                <w:sz w:val="17"/>
              </w:rPr>
              <w:t>Tagged and appearing correctly in showback</w:t>
            </w:r>
          </w:p>
        </w:tc>
      </w:tr>
      <w:tr>
        <w:tc>
          <w:tcPr>
            <w:tcW w:type="dxa" w:w="4824"/>
          </w:tcPr>
          <w:p>
            <w:r>
              <w:rPr>
                <w:sz w:val="17"/>
              </w:rPr>
              <w:t>Restore tested in the new location</w:t>
            </w:r>
          </w:p>
        </w:tc>
        <w:tc>
          <w:tcPr>
            <w:tcW w:type="dxa" w:w="4824"/>
          </w:tcPr>
          <w:p>
            <w:r>
              <w:rPr>
                <w:sz w:val="17"/>
              </w:rPr>
              <w:t>⭐ Actual recovery performed, evidence retained. See Section 6.</w:t>
            </w:r>
          </w:p>
        </w:tc>
      </w:tr>
      <w:tr>
        <w:tc>
          <w:tcPr>
            <w:tcW w:type="dxa" w:w="4824"/>
          </w:tcPr>
          <w:p>
            <w:r>
              <w:rPr>
                <w:sz w:val="17"/>
              </w:rPr>
              <w:t>Monitoring and alerting operating</w:t>
            </w:r>
          </w:p>
        </w:tc>
        <w:tc>
          <w:tcPr>
            <w:tcW w:type="dxa" w:w="4824"/>
          </w:tcPr>
          <w:p>
            <w:r>
              <w:rPr>
                <w:sz w:val="17"/>
              </w:rPr>
              <w:t>Alerts fire in test; on-call has received and acted on one</w:t>
            </w:r>
          </w:p>
        </w:tc>
      </w:tr>
      <w:tr>
        <w:tc>
          <w:tcPr>
            <w:tcW w:type="dxa" w:w="4824"/>
          </w:tcPr>
          <w:p>
            <w:r>
              <w:rPr>
                <w:sz w:val="17"/>
              </w:rPr>
              <w:t>Source decommissioned or scheduled</w:t>
            </w:r>
          </w:p>
        </w:tc>
        <w:tc>
          <w:tcPr>
            <w:tcW w:type="dxa" w:w="4824"/>
          </w:tcPr>
          <w:p>
            <w:r>
              <w:rPr>
                <w:sz w:val="17"/>
              </w:rPr>
              <w:t>⚠ The old system is off or has a dated shutdown. A wave that leaves the source running has not reduced anything.</w:t>
            </w:r>
          </w:p>
        </w:tc>
      </w:tr>
    </w:tbl>
    <w:p/>
    <w:p>
      <w:pPr>
        <w:spacing w:before="120"/>
        <w:ind w:left="360"/>
      </w:pPr>
      <w:r>
        <w:rPr>
          <w:i/>
          <w:color w:val="12304A"/>
          <w:sz w:val="20"/>
        </w:rPr>
        <w:t>The last row is where data center exits quietly fail. Workloads migrate successfully, the team moves to the next wave, and the original servers keep running — because nobody wants to be the person who turned something off, and because "leave it a few weeks just in case" is always reasonable. Repeat that five times and the data center is still full on the day the lease ends. Migration is not the objective; the empty data center is.</w:t>
      </w:r>
    </w:p>
    <w:p>
      <w:pPr>
        <w:spacing w:before="320"/>
      </w:pPr>
      <w:r>
        <w:rPr>
          <w:b/>
          <w:color w:val="12304A"/>
          <w:sz w:val="28"/>
        </w:rPr>
        <w:t>5. Rollback Windows</w:t>
      </w:r>
    </w:p>
    <w:p>
      <w:r>
        <w:t>Rollback is a real option early and becomes a fiction later. Stating where the line falls — in advance, in writing — is what prevents a team from assuming a safety net that no longer exists.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Wave</w:t>
            </w:r>
          </w:p>
        </w:tc>
        <w:tc>
          <w:tcPr>
            <w:tcW w:type="dxa" w:w="2412"/>
          </w:tcPr>
          <w:p>
            <w:r>
              <w:rPr>
                <w:b/>
                <w:sz w:val="17"/>
              </w:rPr>
              <w:t>Rollback</w:t>
            </w:r>
          </w:p>
        </w:tc>
        <w:tc>
          <w:tcPr>
            <w:tcW w:type="dxa" w:w="2412"/>
          </w:tcPr>
          <w:p>
            <w:r>
              <w:rPr>
                <w:b/>
                <w:sz w:val="17"/>
              </w:rPr>
              <w:t>Window</w:t>
            </w:r>
          </w:p>
        </w:tc>
        <w:tc>
          <w:tcPr>
            <w:tcW w:type="dxa" w:w="2412"/>
          </w:tcPr>
          <w:p>
            <w:r>
              <w:rPr>
                <w:b/>
                <w:sz w:val="17"/>
              </w:rPr>
              <w:t>Why it narrows</w:t>
            </w:r>
          </w:p>
        </w:tc>
      </w:tr>
      <w:tr>
        <w:tc>
          <w:tcPr>
            <w:tcW w:type="dxa" w:w="2412"/>
          </w:tcPr>
          <w:p>
            <w:r>
              <w:rPr>
                <w:sz w:val="17"/>
              </w:rPr>
              <w:t>W-1</w:t>
            </w:r>
          </w:p>
        </w:tc>
        <w:tc>
          <w:tcPr>
            <w:tcW w:type="dxa" w:w="2412"/>
          </w:tcPr>
          <w:p>
            <w:r>
              <w:rPr>
                <w:sz w:val="17"/>
              </w:rPr>
              <w:t>Wide</w:t>
            </w:r>
          </w:p>
        </w:tc>
        <w:tc>
          <w:tcPr>
            <w:tcW w:type="dxa" w:w="2412"/>
          </w:tcPr>
          <w:p>
            <w:r>
              <w:rPr>
                <w:sz w:val="17"/>
              </w:rPr>
              <w:t>Indefinite</w:t>
            </w:r>
          </w:p>
        </w:tc>
        <w:tc>
          <w:tcPr>
            <w:tcW w:type="dxa" w:w="2412"/>
          </w:tcPr>
          <w:p>
            <w:r>
              <w:rPr>
                <w:sz w:val="17"/>
              </w:rPr>
              <w:t>Non-production. The source is untouched and nothing depends on the target.</w:t>
            </w:r>
          </w:p>
        </w:tc>
      </w:tr>
      <w:tr>
        <w:tc>
          <w:tcPr>
            <w:tcW w:type="dxa" w:w="2412"/>
          </w:tcPr>
          <w:p>
            <w:r>
              <w:rPr>
                <w:sz w:val="17"/>
              </w:rPr>
              <w:t>W-2</w:t>
            </w:r>
          </w:p>
        </w:tc>
        <w:tc>
          <w:tcPr>
            <w:tcW w:type="dxa" w:w="2412"/>
          </w:tcPr>
          <w:p>
            <w:r>
              <w:rPr>
                <w:sz w:val="17"/>
              </w:rPr>
              <w:t>Wide</w:t>
            </w:r>
          </w:p>
        </w:tc>
        <w:tc>
          <w:tcPr>
            <w:tcW w:type="dxa" w:w="2412"/>
          </w:tcPr>
          <w:p>
            <w:r>
              <w:rPr>
                <w:sz w:val="17"/>
              </w:rPr>
              <w:t>Days</w:t>
            </w:r>
          </w:p>
        </w:tc>
        <w:tc>
          <w:tcPr>
            <w:tcW w:type="dxa" w:w="2412"/>
          </w:tcPr>
          <w:p>
            <w:r>
              <w:rPr>
                <w:sz w:val="17"/>
              </w:rPr>
              <w:t>Read-mostly workloads; source can be restarted with minimal reconciliation</w:t>
            </w:r>
          </w:p>
        </w:tc>
      </w:tr>
      <w:tr>
        <w:tc>
          <w:tcPr>
            <w:tcW w:type="dxa" w:w="2412"/>
          </w:tcPr>
          <w:p>
            <w:r>
              <w:rPr>
                <w:sz w:val="17"/>
              </w:rPr>
              <w:t>W-3</w:t>
            </w:r>
          </w:p>
        </w:tc>
        <w:tc>
          <w:tcPr>
            <w:tcW w:type="dxa" w:w="2412"/>
          </w:tcPr>
          <w:p>
            <w:r>
              <w:rPr>
                <w:sz w:val="17"/>
              </w:rPr>
              <w:t>Narrow</w:t>
            </w:r>
          </w:p>
        </w:tc>
        <w:tc>
          <w:tcPr>
            <w:tcW w:type="dxa" w:w="2412"/>
          </w:tcPr>
          <w:p>
            <w:r>
              <w:rPr>
                <w:sz w:val="17"/>
              </w:rPr>
              <w:t>72 hours</w:t>
            </w:r>
          </w:p>
        </w:tc>
        <w:tc>
          <w:tcPr>
            <w:tcW w:type="dxa" w:w="2412"/>
          </w:tcPr>
          <w:p>
            <w:r>
              <w:rPr>
                <w:sz w:val="17"/>
              </w:rPr>
              <w:t>⚠ Clinical data written in the new location must be reconciled back if reverted</w:t>
            </w:r>
          </w:p>
        </w:tc>
      </w:tr>
      <w:tr>
        <w:tc>
          <w:tcPr>
            <w:tcW w:type="dxa" w:w="2412"/>
          </w:tcPr>
          <w:p>
            <w:r>
              <w:rPr>
                <w:sz w:val="17"/>
              </w:rPr>
              <w:t>W-4</w:t>
            </w:r>
          </w:p>
        </w:tc>
        <w:tc>
          <w:tcPr>
            <w:tcW w:type="dxa" w:w="2412"/>
          </w:tcPr>
          <w:p>
            <w:r>
              <w:rPr>
                <w:sz w:val="17"/>
              </w:rPr>
              <w:t>Narrow</w:t>
            </w:r>
          </w:p>
        </w:tc>
        <w:tc>
          <w:tcPr>
            <w:tcW w:type="dxa" w:w="2412"/>
          </w:tcPr>
          <w:p>
            <w:r>
              <w:rPr>
                <w:sz w:val="17"/>
              </w:rPr>
              <w:t>24 hours</w:t>
            </w:r>
          </w:p>
        </w:tc>
        <w:tc>
          <w:tcPr>
            <w:tcW w:type="dxa" w:w="2412"/>
          </w:tcPr>
          <w:p>
            <w:r>
              <w:rPr>
                <w:sz w:val="17"/>
              </w:rPr>
              <w:t>Interfaces have been repointed; reverting means repointing every consumer</w:t>
            </w:r>
          </w:p>
        </w:tc>
      </w:tr>
      <w:tr>
        <w:tc>
          <w:tcPr>
            <w:tcW w:type="dxa" w:w="2412"/>
          </w:tcPr>
          <w:p>
            <w:r>
              <w:rPr>
                <w:sz w:val="17"/>
              </w:rPr>
              <w:t>W-5</w:t>
            </w:r>
          </w:p>
        </w:tc>
        <w:tc>
          <w:tcPr>
            <w:tcW w:type="dxa" w:w="2412"/>
          </w:tcPr>
          <w:p>
            <w:r>
              <w:rPr>
                <w:sz w:val="17"/>
              </w:rPr>
              <w:t>None after cutover</w:t>
            </w:r>
          </w:p>
        </w:tc>
        <w:tc>
          <w:tcPr>
            <w:tcW w:type="dxa" w:w="2412"/>
          </w:tcPr>
          <w:p>
            <w:r>
              <w:rPr>
                <w:sz w:val="17"/>
              </w:rPr>
              <w:t>—</w:t>
            </w:r>
          </w:p>
        </w:tc>
        <w:tc>
          <w:tcPr>
            <w:tcW w:type="dxa" w:w="2412"/>
          </w:tcPr>
          <w:p>
            <w:r>
              <w:rPr>
                <w:sz w:val="17"/>
              </w:rPr>
              <w:t>⚠⚠ Claims adjudicating in the new location cannot be un-adjudicated. Forward fix only.</w:t>
            </w:r>
          </w:p>
        </w:tc>
      </w:tr>
    </w:tbl>
    <w:p/>
    <w:p>
      <w:pPr>
        <w:spacing w:before="120"/>
        <w:ind w:left="360"/>
      </w:pPr>
      <w:r>
        <w:rPr>
          <w:i/>
          <w:color w:val="12304A"/>
          <w:sz w:val="20"/>
        </w:rPr>
        <w:t>Wave 5 has no rollback, and that is stated plainly here rather than discovered at three in the morning. Once claims are adjudicating on ACME's platform for the combined book, reverting would mean unwinding payments, reversing remittances and re-processing against a system whose data is now stale. The mitigation is not a better rollback plan — there is no such plan. It is a longer parallel run, a tighter go/no-go, and the willingness to not proceed. A cutover with no reverse gear must be preceded by a decision point where "no" is genuinely available, which is why the Day 1 go/no-go pattern is repeated for this wave.</w:t>
      </w:r>
    </w:p>
    <w:p>
      <w:pPr>
        <w:spacing w:before="320"/>
      </w:pPr>
      <w:r>
        <w:rPr>
          <w:b/>
          <w:color w:val="12304A"/>
          <w:sz w:val="28"/>
        </w:rPr>
        <w:t>6. Recovery Evidence Per Wave</w:t>
      </w:r>
    </w:p>
    <w:p>
      <w:r>
        <w:t>Every wave exit includes a tested restore of at least one workload in its new location. This is not a formality carried over from the landing zone gate — it tests something different each time.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Wave</w:t>
            </w:r>
          </w:p>
        </w:tc>
        <w:tc>
          <w:tcPr>
            <w:tcW w:type="dxa" w:w="3216"/>
          </w:tcPr>
          <w:p>
            <w:r>
              <w:rPr>
                <w:b/>
                <w:sz w:val="17"/>
              </w:rPr>
              <w:t>Tier of workloads</w:t>
            </w:r>
          </w:p>
        </w:tc>
        <w:tc>
          <w:tcPr>
            <w:tcW w:type="dxa" w:w="3216"/>
          </w:tcPr>
          <w:p>
            <w:r>
              <w:rPr>
                <w:b/>
                <w:sz w:val="17"/>
              </w:rPr>
              <w:t>What the restore test proves at this point</w:t>
            </w:r>
          </w:p>
        </w:tc>
      </w:tr>
      <w:tr>
        <w:tc>
          <w:tcPr>
            <w:tcW w:type="dxa" w:w="3216"/>
          </w:tcPr>
          <w:p>
            <w:r>
              <w:rPr>
                <w:sz w:val="17"/>
              </w:rPr>
              <w:t>W-1</w:t>
            </w:r>
          </w:p>
        </w:tc>
        <w:tc>
          <w:tcPr>
            <w:tcW w:type="dxa" w:w="3216"/>
          </w:tcPr>
          <w:p>
            <w:r>
              <w:rPr>
                <w:sz w:val="17"/>
              </w:rPr>
              <w:t>Tier 3 — deferrable</w:t>
            </w:r>
          </w:p>
        </w:tc>
        <w:tc>
          <w:tcPr>
            <w:tcW w:type="dxa" w:w="3216"/>
          </w:tcPr>
          <w:p>
            <w:r>
              <w:rPr>
                <w:sz w:val="17"/>
              </w:rPr>
              <w:t>The backup configuration works at all, and someone knows how to run a restore</w:t>
            </w:r>
          </w:p>
        </w:tc>
      </w:tr>
      <w:tr>
        <w:tc>
          <w:tcPr>
            <w:tcW w:type="dxa" w:w="3216"/>
          </w:tcPr>
          <w:p>
            <w:r>
              <w:rPr>
                <w:sz w:val="17"/>
              </w:rPr>
              <w:t>W-2</w:t>
            </w:r>
          </w:p>
        </w:tc>
        <w:tc>
          <w:tcPr>
            <w:tcW w:type="dxa" w:w="3216"/>
          </w:tcPr>
          <w:p>
            <w:r>
              <w:rPr>
                <w:sz w:val="17"/>
              </w:rPr>
              <w:t>Tier 3 / Tier 2</w:t>
            </w:r>
          </w:p>
        </w:tc>
        <w:tc>
          <w:tcPr>
            <w:tcW w:type="dxa" w:w="3216"/>
          </w:tcPr>
          <w:p>
            <w:r>
              <w:rPr>
                <w:sz w:val="17"/>
              </w:rPr>
              <w:t>Restore works at larger data volumes, within the stated RTO for the tier</w:t>
            </w:r>
          </w:p>
        </w:tc>
      </w:tr>
      <w:tr>
        <w:tc>
          <w:tcPr>
            <w:tcW w:type="dxa" w:w="3216"/>
          </w:tcPr>
          <w:p>
            <w:r>
              <w:rPr>
                <w:sz w:val="17"/>
              </w:rPr>
              <w:t>W-3</w:t>
            </w:r>
          </w:p>
        </w:tc>
        <w:tc>
          <w:tcPr>
            <w:tcW w:type="dxa" w:w="3216"/>
          </w:tcPr>
          <w:p>
            <w:r>
              <w:rPr>
                <w:sz w:val="17"/>
              </w:rPr>
              <w:t>Tier 2 — important</w:t>
            </w:r>
          </w:p>
        </w:tc>
        <w:tc>
          <w:tcPr>
            <w:tcW w:type="dxa" w:w="3216"/>
          </w:tcPr>
          <w:p>
            <w:r>
              <w:rPr>
                <w:sz w:val="17"/>
              </w:rPr>
              <w:t>Clinical data restores with referential integrity intact, not merely with files present</w:t>
            </w:r>
          </w:p>
        </w:tc>
      </w:tr>
      <w:tr>
        <w:tc>
          <w:tcPr>
            <w:tcW w:type="dxa" w:w="3216"/>
          </w:tcPr>
          <w:p>
            <w:r>
              <w:rPr>
                <w:sz w:val="17"/>
              </w:rPr>
              <w:t>W-4</w:t>
            </w:r>
          </w:p>
        </w:tc>
        <w:tc>
          <w:tcPr>
            <w:tcW w:type="dxa" w:w="3216"/>
          </w:tcPr>
          <w:p>
            <w:r>
              <w:rPr>
                <w:sz w:val="17"/>
              </w:rPr>
              <w:t>Tier 2, incl. the data warehouse</w:t>
            </w:r>
          </w:p>
        </w:tc>
        <w:tc>
          <w:tcPr>
            <w:tcW w:type="dxa" w:w="3216"/>
          </w:tcPr>
          <w:p>
            <w:r>
              <w:rPr>
                <w:sz w:val="17"/>
              </w:rPr>
              <w:t>⭐ The new-build warehouse recovers — it inherited no regime, so this is its first proof</w:t>
            </w:r>
          </w:p>
        </w:tc>
      </w:tr>
      <w:tr>
        <w:tc>
          <w:tcPr>
            <w:tcW w:type="dxa" w:w="3216"/>
          </w:tcPr>
          <w:p>
            <w:r>
              <w:rPr>
                <w:sz w:val="17"/>
              </w:rPr>
              <w:t>W-5</w:t>
            </w:r>
          </w:p>
        </w:tc>
        <w:tc>
          <w:tcPr>
            <w:tcW w:type="dxa" w:w="3216"/>
          </w:tcPr>
          <w:p>
            <w:r>
              <w:rPr>
                <w:sz w:val="17"/>
              </w:rPr>
              <w:t>Tier 0 — critical</w:t>
            </w:r>
          </w:p>
        </w:tc>
        <w:tc>
          <w:tcPr>
            <w:tcW w:type="dxa" w:w="3216"/>
          </w:tcPr>
          <w:p>
            <w:r>
              <w:rPr>
                <w:sz w:val="17"/>
              </w:rPr>
              <w:t>Recovery inside the Tier 0 RTO of four hours, under production conditions</w:t>
            </w:r>
          </w:p>
        </w:tc>
      </w:tr>
    </w:tbl>
    <w:p/>
    <w:p>
      <w:pPr>
        <w:spacing w:before="120"/>
        <w:ind w:left="360"/>
      </w:pPr>
      <w:r>
        <w:rPr>
          <w:i/>
          <w:color w:val="12304A"/>
          <w:sz w:val="20"/>
        </w:rPr>
        <w:t>The tests get harder deliberately, in the same way the waves do. A first restore proves the mechanism exists. A restore at Wave 5 proves an organization that had never operated a cloud platform can recover a claims system inside four hours — which is a claim about people and process, not about configuration. Testing that capability for the first time on the last and most critical workload would be the same error as putting core administration in Wave 1.</w:t>
      </w:r>
    </w:p>
    <w:p>
      <w:r>
        <w:t>⚠ The Wave 4 test carries particular weight. The enterprise data warehouse is the program's only genuinely new system, it inherited no backup regime and no restore history, and its retention obligation runs to seven years against a compliance requirement rather than an operational one. Its recovery gate conditions are set out in the Landing Zone Design and must be satisfied before the wave closes, not after.</w:t>
      </w:r>
    </w:p>
    <w:p>
      <w:pPr>
        <w:spacing w:before="320"/>
      </w:pPr>
      <w:r>
        <w:rPr>
          <w:b/>
          <w:color w:val="12304A"/>
          <w:sz w:val="28"/>
        </w:rPr>
        <w:t>7. Risks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Risk</w:t>
            </w:r>
          </w:p>
        </w:tc>
        <w:tc>
          <w:tcPr>
            <w:tcW w:type="dxa" w:w="3216"/>
          </w:tcPr>
          <w:p>
            <w:r>
              <w:rPr>
                <w:b/>
                <w:sz w:val="17"/>
              </w:rPr>
              <w:t>Response</w:t>
            </w:r>
          </w:p>
        </w:tc>
      </w:tr>
      <w:tr>
        <w:tc>
          <w:tcPr>
            <w:tcW w:type="dxa" w:w="3216"/>
          </w:tcPr>
          <w:p>
            <w:r>
              <w:rPr>
                <w:sz w:val="17"/>
              </w:rPr>
              <w:t>WR-01</w:t>
            </w:r>
          </w:p>
        </w:tc>
        <w:tc>
          <w:tcPr>
            <w:tcW w:type="dxa" w:w="3216"/>
          </w:tcPr>
          <w:p>
            <w:r>
              <w:rPr>
                <w:sz w:val="17"/>
              </w:rPr>
              <w:t>Identity resolution runs long, delaying W-5</w:t>
            </w:r>
          </w:p>
        </w:tc>
        <w:tc>
          <w:tcPr>
            <w:tcW w:type="dxa" w:w="3216"/>
          </w:tcPr>
          <w:p>
            <w:r>
              <w:rPr>
                <w:sz w:val="17"/>
              </w:rPr>
              <w:t>⚠ The dominant schedule risk on the program. No infrastructure mitigation exists. Tracked through the clerical review queue, not through migration status.</w:t>
            </w:r>
          </w:p>
        </w:tc>
      </w:tr>
      <w:tr>
        <w:tc>
          <w:tcPr>
            <w:tcW w:type="dxa" w:w="3216"/>
          </w:tcPr>
          <w:p>
            <w:r>
              <w:rPr>
                <w:sz w:val="17"/>
              </w:rPr>
              <w:t>WR-02</w:t>
            </w:r>
          </w:p>
        </w:tc>
        <w:tc>
          <w:tcPr>
            <w:tcW w:type="dxa" w:w="3216"/>
          </w:tcPr>
          <w:p>
            <w:r>
              <w:rPr>
                <w:sz w:val="17"/>
              </w:rPr>
              <w:t>Appliance turnaround slower than planned</w:t>
            </w:r>
          </w:p>
        </w:tc>
        <w:tc>
          <w:tcPr>
            <w:tcW w:type="dxa" w:w="3216"/>
          </w:tcPr>
          <w:p>
            <w:r>
              <w:rPr>
                <w:sz w:val="17"/>
              </w:rPr>
              <w:t>Five appliances run in parallel with float; archive transfer starts first and finishes months before it is needed</w:t>
            </w:r>
          </w:p>
        </w:tc>
      </w:tr>
      <w:tr>
        <w:tc>
          <w:tcPr>
            <w:tcW w:type="dxa" w:w="3216"/>
          </w:tcPr>
          <w:p>
            <w:r>
              <w:rPr>
                <w:sz w:val="17"/>
              </w:rPr>
              <w:t>WR-03</w:t>
            </w:r>
          </w:p>
        </w:tc>
        <w:tc>
          <w:tcPr>
            <w:tcW w:type="dxa" w:w="3216"/>
          </w:tcPr>
          <w:p>
            <w:r>
              <w:rPr>
                <w:sz w:val="17"/>
              </w:rPr>
              <w:t>Source systems not decommissioned after their wave</w:t>
            </w:r>
          </w:p>
        </w:tc>
        <w:tc>
          <w:tcPr>
            <w:tcW w:type="dxa" w:w="3216"/>
          </w:tcPr>
          <w:p>
            <w:r>
              <w:rPr>
                <w:sz w:val="17"/>
              </w:rPr>
              <w:t>Dated shutdown required at wave exit; tracked to the data center lease date rather than to team comfort</w:t>
            </w:r>
          </w:p>
        </w:tc>
      </w:tr>
      <w:tr>
        <w:tc>
          <w:tcPr>
            <w:tcW w:type="dxa" w:w="3216"/>
          </w:tcPr>
          <w:p>
            <w:r>
              <w:rPr>
                <w:sz w:val="17"/>
              </w:rPr>
              <w:t>WR-04</w:t>
            </w:r>
          </w:p>
        </w:tc>
        <w:tc>
          <w:tcPr>
            <w:tcW w:type="dxa" w:w="3216"/>
          </w:tcPr>
          <w:p>
            <w:r>
              <w:rPr>
                <w:sz w:val="17"/>
              </w:rPr>
              <w:t>Performance in Azure differs from on-premises baseline</w:t>
            </w:r>
          </w:p>
        </w:tc>
        <w:tc>
          <w:tcPr>
            <w:tcW w:type="dxa" w:w="3216"/>
          </w:tcPr>
          <w:p>
            <w:r>
              <w:rPr>
                <w:sz w:val="17"/>
              </w:rPr>
              <w:t>Measured at every wave exit against the pre-migration baseline. Rehost means "same behavior," which is testable.</w:t>
            </w:r>
          </w:p>
        </w:tc>
      </w:tr>
      <w:tr>
        <w:tc>
          <w:tcPr>
            <w:tcW w:type="dxa" w:w="3216"/>
          </w:tcPr>
          <w:p>
            <w:r>
              <w:rPr>
                <w:sz w:val="17"/>
              </w:rPr>
              <w:t>WR-05</w:t>
            </w:r>
          </w:p>
        </w:tc>
        <w:tc>
          <w:tcPr>
            <w:tcW w:type="dxa" w:w="3216"/>
          </w:tcPr>
          <w:p>
            <w:r>
              <w:rPr>
                <w:sz w:val="17"/>
              </w:rPr>
              <w:t>Waves overlap because of schedule pressure</w:t>
            </w:r>
          </w:p>
        </w:tc>
        <w:tc>
          <w:tcPr>
            <w:tcW w:type="dxa" w:w="3216"/>
          </w:tcPr>
          <w:p>
            <w:r>
              <w:rPr>
                <w:sz w:val="17"/>
              </w:rPr>
              <w:t>One wave in flight is a rule. Overlap consumes the same people twice and produces two incomplete waves.</w:t>
            </w:r>
          </w:p>
        </w:tc>
      </w:tr>
      <w:tr>
        <w:tc>
          <w:tcPr>
            <w:tcW w:type="dxa" w:w="3216"/>
          </w:tcPr>
          <w:p>
            <w:r>
              <w:rPr>
                <w:sz w:val="17"/>
              </w:rPr>
              <w:t>WR-06</w:t>
            </w:r>
          </w:p>
        </w:tc>
        <w:tc>
          <w:tcPr>
            <w:tcW w:type="dxa" w:w="3216"/>
          </w:tcPr>
          <w:p>
            <w:r>
              <w:rPr>
                <w:sz w:val="17"/>
              </w:rPr>
              <w:t>MSP step-down boundary falls mid-wave</w:t>
            </w:r>
          </w:p>
        </w:tc>
        <w:tc>
          <w:tcPr>
            <w:tcW w:type="dxa" w:w="3216"/>
          </w:tcPr>
          <w:p>
            <w:r>
              <w:rPr>
                <w:sz w:val="17"/>
              </w:rPr>
              <w:t>Step-down boundaries aligned to wave boundaries, not to calendar months</w:t>
            </w:r>
          </w:p>
        </w:tc>
      </w:tr>
    </w:tbl>
    <w:p/>
    <w:p>
      <w:pPr>
        <w:spacing w:before="120"/>
        <w:ind w:left="360"/>
      </w:pPr>
      <w:r>
        <w:rPr>
          <w:i/>
          <w:color w:val="12304A"/>
          <w:sz w:val="20"/>
        </w:rPr>
        <w:t>WR-01 is worth stating separately because it is not a cloud risk and cannot be managed as one. Every other row here responds to something the migration team controls — bandwidth, sequencing, testing, staffing. The dominant risk to this plan is the size of a clerical review queue produced by data quality nobody was permitted to measure before closing. The migration can be flawlessly executed and still miss the data center exit, because the last wave is waiting on people reading member records one at a time. That is the shape of this program: the technical work is not the hard part, and the hard part is not technical.</w:t>
      </w:r>
    </w:p>
    <w:p>
      <w:r>
        <w:t>Related artifacts: 20 — Application Disposition Matrix · 22 — TSA Schedule &amp; Exit Plan (TS-05) · 23 — Data Migration &amp; EMPI Strategy · 24 — Cloud Migration Strategy · 25 — Integration Architecture · 28 — Risk Register · 34 — Cloud Landing Zone Design · 39 — Interface Build &amp; Cutover Log</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