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INTEGRATION EXTRACT · ARTIFACT 2 ·</w:t>
      </w:r>
    </w:p>
    <w:p>
      <w:r>
        <w:rPr>
          <w:b/>
          <w:color w:val="12304A"/>
          <w:sz w:val="44"/>
        </w:rPr>
        <w:t>Deal Summary &amp; Investment Thesis</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This is the integration extract of the deal model: the acquisition rationale, the committed synergy number and its decomposition by source, and the assumptions the integration program is now accountable for testing. It is not the deal model itself, which belongs to Corporate Development and contains valuation and negotiating material outside the program's scope. Prepared by the Integration Management Office and issued to the Steering Committee on February 24, 2023, three days before the Integration Charter.</w:t>
      </w:r>
    </w:p>
    <w:p>
      <w:pPr>
        <w:spacing w:before="120"/>
        <w:ind w:left="360"/>
      </w:pPr>
      <w:r>
        <w:rPr>
          <w:i/>
          <w:color w:val="12304A"/>
          <w:sz w:val="20"/>
        </w:rPr>
        <w:t>The purpose of this document is a handoff, and the handoff is where value leaks. A deal team builds a synergy case to support a price and then moves to the next transaction. An integration team inherits that case and has to deliver it. The numbers do not change at the handoff, but their function does: what was an argument becomes a commitment. If the integration program never restates the deal model in its own terms — by source, by owner, by date — then nobody owns the number, and at Year 3 the honest answer to "did we get the synergies?" is that nobody was ever in a position to know.</w:t>
      </w:r>
    </w:p>
    <w:p>
      <w:pPr>
        <w:spacing w:before="320"/>
      </w:pPr>
      <w:r>
        <w:rPr>
          <w:b/>
          <w:color w:val="12304A"/>
          <w:sz w:val="28"/>
        </w:rPr>
        <w:t>1. Transaction Terms Relevant to Integration</w:t>
      </w:r>
    </w:p>
    <w:p>
      <w:r>
        <w:t>The full agreement runs to several hundred pages. The terms below are the ones that bind the integration program, and each is included because it constrains a decision the program will have to make.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Term</w:t>
            </w:r>
          </w:p>
        </w:tc>
        <w:tc>
          <w:tcPr>
            <w:tcW w:type="dxa" w:w="3216"/>
          </w:tcPr>
          <w:p>
            <w:r>
              <w:rPr>
                <w:b/>
                <w:sz w:val="17"/>
              </w:rPr>
              <w:t>Provision</w:t>
            </w:r>
          </w:p>
        </w:tc>
        <w:tc>
          <w:tcPr>
            <w:tcW w:type="dxa" w:w="3216"/>
          </w:tcPr>
          <w:p>
            <w:r>
              <w:rPr>
                <w:b/>
                <w:sz w:val="17"/>
              </w:rPr>
              <w:t>Why the program cares</w:t>
            </w:r>
          </w:p>
        </w:tc>
      </w:tr>
      <w:tr>
        <w:tc>
          <w:tcPr>
            <w:tcW w:type="dxa" w:w="3216"/>
          </w:tcPr>
          <w:p>
            <w:r>
              <w:rPr>
                <w:sz w:val="17"/>
              </w:rPr>
              <w:t>Structure</w:t>
            </w:r>
          </w:p>
        </w:tc>
        <w:tc>
          <w:tcPr>
            <w:tcW w:type="dxa" w:w="3216"/>
          </w:tcPr>
          <w:p>
            <w:r>
              <w:rPr>
                <w:sz w:val="17"/>
              </w:rPr>
              <w:t>Carve-out from Cheatham Mutual Holdings, then merger into ACME Health</w:t>
            </w:r>
          </w:p>
        </w:tc>
        <w:tc>
          <w:tcPr>
            <w:tcW w:type="dxa" w:w="3216"/>
          </w:tcPr>
          <w:p>
            <w:r>
              <w:rPr>
                <w:sz w:val="17"/>
              </w:rPr>
              <w:t>⚠ The structure is what creates the TSA. Cumberland Valley runs on its parent’s shared services, so ACME must stand those up itself — on a meter, against a clock. ACME is the surviving entity.</w:t>
            </w:r>
          </w:p>
        </w:tc>
      </w:tr>
      <w:tr>
        <w:tc>
          <w:tcPr>
            <w:tcW w:type="dxa" w:w="3216"/>
          </w:tcPr>
          <w:p>
            <w:r>
              <w:rPr>
                <w:sz w:val="17"/>
              </w:rPr>
              <w:t>Consideration</w:t>
            </w:r>
          </w:p>
        </w:tc>
        <w:tc>
          <w:tcPr>
            <w:tcW w:type="dxa" w:w="3216"/>
          </w:tcPr>
          <w:p>
            <w:r>
              <w:rPr>
                <w:sz w:val="17"/>
              </w:rPr>
              <w:t>$1,200,000,000</w:t>
            </w:r>
          </w:p>
        </w:tc>
        <w:tc>
          <w:tcPr>
            <w:tcW w:type="dxa" w:w="3216"/>
          </w:tcPr>
          <w:p>
            <w:r>
              <w:rPr>
                <w:sz w:val="17"/>
              </w:rPr>
              <w:t>Sets the return the synergy case must justify.</w:t>
            </w:r>
          </w:p>
        </w:tc>
      </w:tr>
      <w:tr>
        <w:tc>
          <w:tcPr>
            <w:tcW w:type="dxa" w:w="3216"/>
          </w:tcPr>
          <w:p>
            <w:r>
              <w:rPr>
                <w:sz w:val="17"/>
              </w:rPr>
              <w:t>Conditions to close</w:t>
            </w:r>
          </w:p>
        </w:tc>
        <w:tc>
          <w:tcPr>
            <w:tcW w:type="dxa" w:w="3216"/>
          </w:tcPr>
          <w:p>
            <w:r>
              <w:rPr>
                <w:sz w:val="17"/>
              </w:rPr>
              <w:t>HSR expiration; Tennessee DOI Form A approval</w:t>
            </w:r>
          </w:p>
        </w:tc>
        <w:tc>
          <w:tcPr>
            <w:tcW w:type="dxa" w:w="3216"/>
          </w:tcPr>
          <w:p>
            <w:r>
              <w:rPr>
                <w:sz w:val="17"/>
              </w:rPr>
              <w:t>Neither is in the program's control. The close date is an estimate until both clear.</w:t>
            </w:r>
          </w:p>
        </w:tc>
      </w:tr>
      <w:tr>
        <w:tc>
          <w:tcPr>
            <w:tcW w:type="dxa" w:w="3216"/>
          </w:tcPr>
          <w:p>
            <w:r>
              <w:rPr>
                <w:sz w:val="17"/>
              </w:rPr>
              <w:t>Transition Services Agreement</w:t>
            </w:r>
          </w:p>
        </w:tc>
        <w:tc>
          <w:tcPr>
            <w:tcW w:type="dxa" w:w="3216"/>
          </w:tcPr>
          <w:p>
            <w:r>
              <w:rPr>
                <w:sz w:val="17"/>
              </w:rPr>
              <w:t>Cheatham Mutual provides defined shared services post-close, 18-month contractual maximum</w:t>
            </w:r>
          </w:p>
        </w:tc>
        <w:tc>
          <w:tcPr>
            <w:tcW w:type="dxa" w:w="3216"/>
          </w:tcPr>
          <w:p>
            <w:r>
              <w:rPr>
                <w:sz w:val="17"/>
              </w:rPr>
              <w:t>The hard constraint in the Charter's priority order. Exiting the TSA is the integration.</w:t>
            </w:r>
          </w:p>
        </w:tc>
      </w:tr>
      <w:tr>
        <w:tc>
          <w:tcPr>
            <w:tcW w:type="dxa" w:w="3216"/>
          </w:tcPr>
          <w:p>
            <w:r>
              <w:rPr>
                <w:sz w:val="17"/>
              </w:rPr>
              <w:t>Employee provisions</w:t>
            </w:r>
          </w:p>
        </w:tc>
        <w:tc>
          <w:tcPr>
            <w:tcW w:type="dxa" w:w="3216"/>
          </w:tcPr>
          <w:p>
            <w:r>
              <w:rPr>
                <w:sz w:val="17"/>
              </w:rPr>
              <w:t>Continuation of comparable compensation and benefits for a defined period</w:t>
            </w:r>
          </w:p>
        </w:tc>
        <w:tc>
          <w:tcPr>
            <w:tcW w:type="dxa" w:w="3216"/>
          </w:tcPr>
          <w:p>
            <w:r>
              <w:rPr>
                <w:sz w:val="17"/>
              </w:rPr>
              <w:t>Constrains how quickly corporate function consolidation can be realized.</w:t>
            </w:r>
          </w:p>
        </w:tc>
      </w:tr>
      <w:tr>
        <w:tc>
          <w:tcPr>
            <w:tcW w:type="dxa" w:w="3216"/>
          </w:tcPr>
          <w:p>
            <w:r>
              <w:rPr>
                <w:sz w:val="17"/>
              </w:rPr>
              <w:t>Retention pool</w:t>
            </w:r>
          </w:p>
        </w:tc>
        <w:tc>
          <w:tcPr>
            <w:tcW w:type="dxa" w:w="3216"/>
          </w:tcPr>
          <w:p>
            <w:r>
              <w:rPr>
                <w:sz w:val="17"/>
              </w:rPr>
              <w:t>Funded separately from the program budget</w:t>
            </w:r>
          </w:p>
        </w:tc>
        <w:tc>
          <w:tcPr>
            <w:tcW w:type="dxa" w:w="3216"/>
          </w:tcPr>
          <w:p>
            <w:r>
              <w:rPr>
                <w:sz w:val="17"/>
              </w:rPr>
              <w:t>Program identifies covered roles; cost does not sit in the integration budget.</w:t>
            </w:r>
          </w:p>
        </w:tc>
      </w:tr>
      <w:tr>
        <w:tc>
          <w:tcPr>
            <w:tcW w:type="dxa" w:w="3216"/>
          </w:tcPr>
          <w:p>
            <w:r>
              <w:rPr>
                <w:sz w:val="17"/>
              </w:rPr>
              <w:t>Interim operating covenants</w:t>
            </w:r>
          </w:p>
        </w:tc>
        <w:tc>
          <w:tcPr>
            <w:tcW w:type="dxa" w:w="3216"/>
          </w:tcPr>
          <w:p>
            <w:r>
              <w:rPr>
                <w:sz w:val="17"/>
              </w:rPr>
              <w:t>Target operates in the ordinary course; consultation rights above thresholds</w:t>
            </w:r>
          </w:p>
        </w:tc>
        <w:tc>
          <w:tcPr>
            <w:tcW w:type="dxa" w:w="3216"/>
          </w:tcPr>
          <w:p>
            <w:r>
              <w:rPr>
                <w:sz w:val="17"/>
              </w:rPr>
              <w:t>The contractual expression of the no-gun-jumping rule. See the Clean Team Protocol.</w:t>
            </w:r>
          </w:p>
        </w:tc>
      </w:tr>
      <w:tr>
        <w:tc>
          <w:tcPr>
            <w:tcW w:type="dxa" w:w="3216"/>
          </w:tcPr>
          <w:p>
            <w:r>
              <w:rPr>
                <w:sz w:val="17"/>
              </w:rPr>
              <w:t>Representations on data and systems</w:t>
            </w:r>
          </w:p>
        </w:tc>
        <w:tc>
          <w:tcPr>
            <w:tcW w:type="dxa" w:w="3216"/>
          </w:tcPr>
          <w:p>
            <w:r>
              <w:rPr>
                <w:sz w:val="17"/>
              </w:rPr>
              <w:t>Management representations regarding records, systems and compliance</w:t>
            </w:r>
          </w:p>
        </w:tc>
        <w:tc>
          <w:tcPr>
            <w:tcW w:type="dxa" w:w="3216"/>
          </w:tcPr>
          <w:p>
            <w:r>
              <w:rPr>
                <w:sz w:val="17"/>
              </w:rPr>
              <w:t>⚠ The integration estimate rests on these because the barrier prevented independent verification.</w:t>
            </w:r>
          </w:p>
        </w:tc>
      </w:tr>
    </w:tbl>
    <w:p/>
    <w:p>
      <w:pPr>
        <w:spacing w:before="320"/>
      </w:pPr>
      <w:r>
        <w:rPr>
          <w:b/>
          <w:color w:val="12304A"/>
          <w:sz w:val="28"/>
        </w:rPr>
        <w:t>2. Investment Thesis — What Is Being Bought</w:t>
      </w:r>
    </w:p>
    <w:p>
      <w:r>
        <w:t>Three things, in descending order of certainty.</w:t>
      </w:r>
    </w:p>
    <w:p>
      <w:pPr>
        <w:spacing w:before="200"/>
      </w:pPr>
      <w:r>
        <w:rPr>
          <w:b/>
          <w:color w:val="2B5F8E"/>
          <w:sz w:val="23"/>
        </w:rPr>
        <w:t>2.1 Scale in a contiguous market High certainty</w:t>
      </w:r>
    </w:p>
    <w:p>
      <w:r>
        <w:t>Cumberland Valley's 420,000 members sit in Middle Tennessee counties adjacent to and overlapping ACME's existing 1,800,000. Combined membership of 2,220,000 is a 23% increase achieved without new state licensure, new network build, or new regulatory relationships. Scale in a health plan converts directly into administrative cost per member per month, which is the most predictable synergy available.</w:t>
      </w:r>
    </w:p>
    <w:p>
      <w:pPr>
        <w:spacing w:before="200"/>
      </w:pPr>
      <w:r>
        <w:rPr>
          <w:b/>
          <w:color w:val="2B5F8E"/>
          <w:sz w:val="23"/>
        </w:rPr>
        <w:t>2.2 A care management capability that outperforms Medium certainty</w:t>
      </w:r>
    </w:p>
    <w:p>
      <w:r>
        <w:t>Cumberland Valley's care management program produces measurably better readmission and chronic-condition engagement outcomes than ACME's. The thesis is that this capability can be extended across the combined membership rather than absorbed and lost.</w:t>
      </w:r>
    </w:p>
    <w:p>
      <w:pPr>
        <w:spacing w:before="120"/>
        <w:ind w:left="360"/>
      </w:pPr>
      <w:r>
        <w:rPr>
          <w:i/>
          <w:color w:val="12304A"/>
          <w:sz w:val="20"/>
        </w:rPr>
        <w:t>This is the row where integration programs destroy value, and the disposition decision follows from it directly. The default integration instinct is to consolidate onto the acquirer's platform and process. Applied here, that instinct would migrate the better-performing operation onto the worse-performing one and then report the resulting cost saving as a synergy. The Application Disposition Matrix therefore records care management as preserve — and the preservation is not sentiment about the acquired company's culture. It is protection of an asset that was paid for.</w:t>
      </w:r>
    </w:p>
    <w:p>
      <w:pPr>
        <w:spacing w:before="200"/>
      </w:pPr>
      <w:r>
        <w:rPr>
          <w:b/>
          <w:color w:val="2B5F8E"/>
          <w:sz w:val="23"/>
        </w:rPr>
        <w:t>2.3 Provider network complementarity Medium certainty</w:t>
      </w:r>
    </w:p>
    <w:p>
      <w:r>
        <w:t>The two networks overlap without being identical. Where both parties contract the same facility on different terms, the combined entity can move to the stronger arrangement; where one party has a relationship the other lacks, the combined network is broader. Realization depends on contract terms, renewal timing, and provider willingness — none fully knowable before closing.</w:t>
      </w:r>
    </w:p>
    <w:p>
      <w:pPr>
        <w:spacing w:before="320"/>
      </w:pPr>
      <w:r>
        <w:rPr>
          <w:b/>
          <w:color w:val="12304A"/>
          <w:sz w:val="28"/>
        </w:rPr>
        <w:t>3. Synergy Decomposition by Source</w:t>
      </w:r>
    </w:p>
    <w:p>
      <w:r>
        <w:t>The committed number is $85,000,000 run-rate by the end of Year 3. Run-rate means the annualized saving in effect at that date, not the cumulative amount banked along the way — a distinction Section 4 returns to, because confusing the two is how synergy reporting goes wrong.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Source</w:t>
            </w:r>
          </w:p>
        </w:tc>
        <w:tc>
          <w:tcPr>
            <w:tcW w:type="dxa" w:w="2412"/>
          </w:tcPr>
          <w:p>
            <w:r>
              <w:rPr>
                <w:b/>
                <w:sz w:val="17"/>
              </w:rPr>
              <w:t>Run-rate</w:t>
            </w:r>
          </w:p>
        </w:tc>
        <w:tc>
          <w:tcPr>
            <w:tcW w:type="dxa" w:w="2412"/>
          </w:tcPr>
          <w:p>
            <w:r>
              <w:rPr>
                <w:b/>
                <w:sz w:val="17"/>
              </w:rPr>
              <w:t>Confidence</w:t>
            </w:r>
          </w:p>
        </w:tc>
        <w:tc>
          <w:tcPr>
            <w:tcW w:type="dxa" w:w="2412"/>
          </w:tcPr>
          <w:p>
            <w:r>
              <w:rPr>
                <w:b/>
                <w:sz w:val="17"/>
              </w:rPr>
              <w:t>Basis</w:t>
            </w:r>
          </w:p>
        </w:tc>
      </w:tr>
      <w:tr>
        <w:tc>
          <w:tcPr>
            <w:tcW w:type="dxa" w:w="2412"/>
          </w:tcPr>
          <w:p>
            <w:r>
              <w:rPr>
                <w:sz w:val="17"/>
              </w:rPr>
              <w:t>Platform &amp; IT consolidation</w:t>
            </w:r>
          </w:p>
        </w:tc>
        <w:tc>
          <w:tcPr>
            <w:tcW w:type="dxa" w:w="2412"/>
          </w:tcPr>
          <w:p>
            <w:r>
              <w:rPr>
                <w:sz w:val="17"/>
              </w:rPr>
              <w:t>$24,000,000</w:t>
            </w:r>
          </w:p>
        </w:tc>
        <w:tc>
          <w:tcPr>
            <w:tcW w:type="dxa" w:w="2412"/>
          </w:tcPr>
          <w:p>
            <w:r>
              <w:rPr>
                <w:sz w:val="17"/>
              </w:rPr>
              <w:t>High</w:t>
            </w:r>
          </w:p>
        </w:tc>
        <w:tc>
          <w:tcPr>
            <w:tcW w:type="dxa" w:w="2412"/>
          </w:tcPr>
          <w:p>
            <w:r>
              <w:rPr>
                <w:sz w:val="17"/>
              </w:rPr>
              <w:t>Retirement of the target's core administration platform, duplicate infrastructure, duplicate licensing. Largest source, latest to land — gated by migration.</w:t>
            </w:r>
          </w:p>
        </w:tc>
      </w:tr>
      <w:tr>
        <w:tc>
          <w:tcPr>
            <w:tcW w:type="dxa" w:w="2412"/>
          </w:tcPr>
          <w:p>
            <w:r>
              <w:rPr>
                <w:sz w:val="17"/>
              </w:rPr>
              <w:t>Provider network rationalization</w:t>
            </w:r>
          </w:p>
        </w:tc>
        <w:tc>
          <w:tcPr>
            <w:tcW w:type="dxa" w:w="2412"/>
          </w:tcPr>
          <w:p>
            <w:r>
              <w:rPr>
                <w:sz w:val="17"/>
              </w:rPr>
              <w:t>$19,000,000</w:t>
            </w:r>
          </w:p>
        </w:tc>
        <w:tc>
          <w:tcPr>
            <w:tcW w:type="dxa" w:w="2412"/>
          </w:tcPr>
          <w:p>
            <w:r>
              <w:rPr>
                <w:sz w:val="17"/>
              </w:rPr>
              <w:t>Medium</w:t>
            </w:r>
          </w:p>
        </w:tc>
        <w:tc>
          <w:tcPr>
            <w:tcW w:type="dxa" w:w="2412"/>
          </w:tcPr>
          <w:p>
            <w:r>
              <w:rPr>
                <w:sz w:val="17"/>
              </w:rPr>
              <w:t>Medical cost reduction by moving to the stronger contracted position per market. Gated by contract renewal cycles.</w:t>
            </w:r>
          </w:p>
        </w:tc>
      </w:tr>
      <w:tr>
        <w:tc>
          <w:tcPr>
            <w:tcW w:type="dxa" w:w="2412"/>
          </w:tcPr>
          <w:p>
            <w:r>
              <w:rPr>
                <w:sz w:val="17"/>
              </w:rPr>
              <w:t>Vendor &amp; contract consolidation</w:t>
            </w:r>
          </w:p>
        </w:tc>
        <w:tc>
          <w:tcPr>
            <w:tcW w:type="dxa" w:w="2412"/>
          </w:tcPr>
          <w:p>
            <w:r>
              <w:rPr>
                <w:sz w:val="17"/>
              </w:rPr>
              <w:t>$18,000,000</w:t>
            </w:r>
          </w:p>
        </w:tc>
        <w:tc>
          <w:tcPr>
            <w:tcW w:type="dxa" w:w="2412"/>
          </w:tcPr>
          <w:p>
            <w:r>
              <w:rPr>
                <w:sz w:val="17"/>
              </w:rPr>
              <w:t>High</w:t>
            </w:r>
          </w:p>
        </w:tc>
        <w:tc>
          <w:tcPr>
            <w:tcW w:type="dxa" w:w="2412"/>
          </w:tcPr>
          <w:p>
            <w:r>
              <w:rPr>
                <w:sz w:val="17"/>
              </w:rPr>
              <w:t>Clearinghouse, pharmacy benefit management, print and mail, care management tooling, actuarial and audit. Needs no system migration.</w:t>
            </w:r>
          </w:p>
        </w:tc>
      </w:tr>
      <w:tr>
        <w:tc>
          <w:tcPr>
            <w:tcW w:type="dxa" w:w="2412"/>
          </w:tcPr>
          <w:p>
            <w:r>
              <w:rPr>
                <w:sz w:val="17"/>
              </w:rPr>
              <w:t>Corporate function consolidation</w:t>
            </w:r>
          </w:p>
        </w:tc>
        <w:tc>
          <w:tcPr>
            <w:tcW w:type="dxa" w:w="2412"/>
          </w:tcPr>
          <w:p>
            <w:r>
              <w:rPr>
                <w:sz w:val="17"/>
              </w:rPr>
              <w:t>$16,000,000</w:t>
            </w:r>
          </w:p>
        </w:tc>
        <w:tc>
          <w:tcPr>
            <w:tcW w:type="dxa" w:w="2412"/>
          </w:tcPr>
          <w:p>
            <w:r>
              <w:rPr>
                <w:sz w:val="17"/>
              </w:rPr>
              <w:t>High</w:t>
            </w:r>
          </w:p>
        </w:tc>
        <w:tc>
          <w:tcPr>
            <w:tcW w:type="dxa" w:w="2412"/>
          </w:tcPr>
          <w:p>
            <w:r>
              <w:rPr>
                <w:sz w:val="17"/>
              </w:rPr>
              <w:t>Finance, HR, actuarial, compliance, executive. Constrained by the employee continuation period.</w:t>
            </w:r>
          </w:p>
        </w:tc>
      </w:tr>
      <w:tr>
        <w:tc>
          <w:tcPr>
            <w:tcW w:type="dxa" w:w="2412"/>
          </w:tcPr>
          <w:p>
            <w:r>
              <w:rPr>
                <w:sz w:val="17"/>
              </w:rPr>
              <w:t>Facilities &amp; other</w:t>
            </w:r>
          </w:p>
        </w:tc>
        <w:tc>
          <w:tcPr>
            <w:tcW w:type="dxa" w:w="2412"/>
          </w:tcPr>
          <w:p>
            <w:r>
              <w:rPr>
                <w:sz w:val="17"/>
              </w:rPr>
              <w:t>$8,000,000</w:t>
            </w:r>
          </w:p>
        </w:tc>
        <w:tc>
          <w:tcPr>
            <w:tcW w:type="dxa" w:w="2412"/>
          </w:tcPr>
          <w:p>
            <w:r>
              <w:rPr>
                <w:sz w:val="17"/>
              </w:rPr>
              <w:t>Medium</w:t>
            </w:r>
          </w:p>
        </w:tc>
        <w:tc>
          <w:tcPr>
            <w:tcW w:type="dxa" w:w="2412"/>
          </w:tcPr>
          <w:p>
            <w:r>
              <w:rPr>
                <w:sz w:val="17"/>
              </w:rPr>
              <w:t>Lease consolidation and exit, gated by expiry dates rather than by program decisions.</w:t>
            </w:r>
          </w:p>
        </w:tc>
      </w:tr>
      <w:tr>
        <w:tc>
          <w:tcPr>
            <w:tcW w:type="dxa" w:w="2412"/>
          </w:tcPr>
          <w:p>
            <w:r>
              <w:rPr>
                <w:sz w:val="17"/>
              </w:rPr>
              <w:t>Total committed run-rate</w:t>
            </w:r>
          </w:p>
        </w:tc>
        <w:tc>
          <w:tcPr>
            <w:tcW w:type="dxa" w:w="2412"/>
          </w:tcPr>
          <w:p>
            <w:r>
              <w:rPr>
                <w:sz w:val="17"/>
              </w:rPr>
              <w:t>$85,000,000</w:t>
            </w:r>
          </w:p>
        </w:tc>
        <w:tc>
          <w:tcPr>
            <w:tcW w:type="dxa" w:w="2412"/>
          </w:tcPr>
          <w:p>
            <w:r>
              <w:rPr>
                <w:sz w:val="17"/>
              </w:rPr>
            </w:r>
          </w:p>
        </w:tc>
        <w:tc>
          <w:tcPr>
            <w:tcW w:type="dxa" w:w="2412"/>
          </w:tcPr>
          <w:p>
            <w:r>
              <w:rPr>
                <w:sz w:val="17"/>
              </w:rPr>
              <w:t>The figure on which the board approved the transaction</w:t>
            </w:r>
          </w:p>
        </w:tc>
      </w:tr>
    </w:tbl>
    <w:p/>
    <w:p>
      <w:pPr>
        <w:spacing w:before="120"/>
        <w:ind w:left="360"/>
      </w:pPr>
      <w:r>
        <w:rPr>
          <w:i/>
          <w:color w:val="12304A"/>
          <w:sz w:val="20"/>
        </w:rPr>
        <w:t>Vendor consolidation is the source a CFO watches first, and it is worth understanding why. It is third by size but first by speed. Consolidating a clearinghouse contract or a print-and-mail vendor requires no system migration, no data conversion and no platform decision — it requires a contract review, a consent, and a termination notice. Vendor savings therefore land in months while the technical tracks are still writing plans. On a program where the largest source is also the slowest, early vendor capture is what keeps the synergy curve credible through the first year.</w:t>
      </w:r>
    </w:p>
    <w:p>
      <w:pPr>
        <w:spacing w:before="320"/>
      </w:pPr>
      <w:r>
        <w:rPr>
          <w:b/>
          <w:color w:val="12304A"/>
          <w:sz w:val="28"/>
        </w:rPr>
        <w:t>4. The Realization Curve and Why Timing Is the Risk</w:t>
      </w:r>
    </w:p>
    <w:p>
      <w:r>
        <w:t>The deal model projects cumulative capture as follows.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Period</w:t>
            </w:r>
          </w:p>
        </w:tc>
        <w:tc>
          <w:tcPr>
            <w:tcW w:type="dxa" w:w="2412"/>
          </w:tcPr>
          <w:p>
            <w:r>
              <w:rPr>
                <w:b/>
                <w:sz w:val="17"/>
              </w:rPr>
              <w:t>Cumulative capture</w:t>
            </w:r>
          </w:p>
        </w:tc>
        <w:tc>
          <w:tcPr>
            <w:tcW w:type="dxa" w:w="2412"/>
          </w:tcPr>
          <w:p>
            <w:r>
              <w:rPr>
                <w:b/>
                <w:sz w:val="17"/>
              </w:rPr>
              <w:t>Shape</w:t>
            </w:r>
          </w:p>
        </w:tc>
        <w:tc>
          <w:tcPr>
            <w:tcW w:type="dxa" w:w="2412"/>
          </w:tcPr>
          <w:p>
            <w:r>
              <w:rPr>
                <w:b/>
                <w:sz w:val="17"/>
              </w:rPr>
              <w:t>What is landing</w:t>
            </w:r>
          </w:p>
        </w:tc>
      </w:tr>
      <w:tr>
        <w:tc>
          <w:tcPr>
            <w:tcW w:type="dxa" w:w="2412"/>
          </w:tcPr>
          <w:p>
            <w:r>
              <w:rPr>
                <w:sz w:val="17"/>
              </w:rPr>
              <w:t>Year 1</w:t>
            </w:r>
          </w:p>
        </w:tc>
        <w:tc>
          <w:tcPr>
            <w:tcW w:type="dxa" w:w="2412"/>
          </w:tcPr>
          <w:p>
            <w:r>
              <w:rPr>
                <w:sz w:val="17"/>
              </w:rPr>
              <w:t>$22,000,000</w:t>
            </w:r>
          </w:p>
        </w:tc>
        <w:tc>
          <w:tcPr>
            <w:tcW w:type="dxa" w:w="2412"/>
          </w:tcPr>
          <w:p>
            <w:r>
              <w:rPr>
                <w:sz w:val="17"/>
              </w:rPr>
            </w:r>
          </w:p>
        </w:tc>
        <w:tc>
          <w:tcPr>
            <w:tcW w:type="dxa" w:w="2412"/>
          </w:tcPr>
          <w:p>
            <w:r>
              <w:rPr>
                <w:sz w:val="17"/>
              </w:rPr>
              <w:t>Vendor consolidation, executive and corporate overlap, early facilities</w:t>
            </w:r>
          </w:p>
        </w:tc>
      </w:tr>
      <w:tr>
        <w:tc>
          <w:tcPr>
            <w:tcW w:type="dxa" w:w="2412"/>
          </w:tcPr>
          <w:p>
            <w:r>
              <w:rPr>
                <w:sz w:val="17"/>
              </w:rPr>
              <w:t>Year 2</w:t>
            </w:r>
          </w:p>
        </w:tc>
        <w:tc>
          <w:tcPr>
            <w:tcW w:type="dxa" w:w="2412"/>
          </w:tcPr>
          <w:p>
            <w:r>
              <w:rPr>
                <w:sz w:val="17"/>
              </w:rPr>
              <w:t>$58,000,000</w:t>
            </w:r>
          </w:p>
        </w:tc>
        <w:tc>
          <w:tcPr>
            <w:tcW w:type="dxa" w:w="2412"/>
          </w:tcPr>
          <w:p>
            <w:r>
              <w:rPr>
                <w:sz w:val="17"/>
              </w:rPr>
            </w:r>
          </w:p>
        </w:tc>
        <w:tc>
          <w:tcPr>
            <w:tcW w:type="dxa" w:w="2412"/>
          </w:tcPr>
          <w:p>
            <w:r>
              <w:rPr>
                <w:sz w:val="17"/>
              </w:rPr>
              <w:t>TSA exit, platform decommissioning begins, network renewals cycle</w:t>
            </w:r>
          </w:p>
        </w:tc>
      </w:tr>
      <w:tr>
        <w:tc>
          <w:tcPr>
            <w:tcW w:type="dxa" w:w="2412"/>
          </w:tcPr>
          <w:p>
            <w:r>
              <w:rPr>
                <w:sz w:val="17"/>
              </w:rPr>
              <w:t>Year 3</w:t>
            </w:r>
          </w:p>
        </w:tc>
        <w:tc>
          <w:tcPr>
            <w:tcW w:type="dxa" w:w="2412"/>
          </w:tcPr>
          <w:p>
            <w:r>
              <w:rPr>
                <w:sz w:val="17"/>
              </w:rPr>
              <w:t>$121,000,000</w:t>
            </w:r>
          </w:p>
        </w:tc>
        <w:tc>
          <w:tcPr>
            <w:tcW w:type="dxa" w:w="2412"/>
          </w:tcPr>
          <w:p>
            <w:r>
              <w:rPr>
                <w:sz w:val="17"/>
              </w:rPr>
            </w:r>
          </w:p>
        </w:tc>
        <w:tc>
          <w:tcPr>
            <w:tcW w:type="dxa" w:w="2412"/>
          </w:tcPr>
          <w:p>
            <w:r>
              <w:rPr>
                <w:sz w:val="17"/>
              </w:rPr>
              <w:t>Full platform retirement; run-rate reaches the committed $85,000,000</w:t>
            </w:r>
          </w:p>
        </w:tc>
      </w:tr>
    </w:tbl>
    <w:p/>
    <w:p>
      <w:pPr>
        <w:spacing w:before="120"/>
        <w:ind w:left="360"/>
      </w:pPr>
      <w:r>
        <w:rPr>
          <w:i/>
          <w:color w:val="12304A"/>
          <w:sz w:val="20"/>
        </w:rPr>
        <w:t>Cumulative capture and run-rate are different measures and the program reports both. Run-rate answers "what is the annualized saving in effect right now" — it is the number the board committed to. Cumulative capture answers "how much money did we actually not spend over the period" — it is the number the CFO sees. A program can hit its run-rate target on time and still be materially behind on cumulative capture, because savings that arrive late are never banked for the months they were late. That gap is not a rounding difference; it is real money that no future performance recovers.</w:t>
      </w:r>
    </w:p>
    <w:p>
      <w:pPr>
        <w:spacing w:before="120"/>
        <w:ind w:left="360"/>
      </w:pPr>
      <w:r>
        <w:rPr>
          <w:i/>
          <w:color w:val="12304A"/>
          <w:sz w:val="20"/>
        </w:rPr>
        <w:t>Which makes schedule, not scope, the principal threat to the synergy case. Every source in Section 3 is gated by an event — a migration completing, a contract renewing, a lease expiring, a TSA exiting. None of them can be pulled forward by effort. If the events slip, the run-rate target may still be met a quarter or two later while the cumulative shortfall becomes permanent. The Synergy Tracker therefore reports both figures side by side from the first month, so that a timing problem is visible as a timing problem long before it looks like a shortfall.</w:t>
      </w:r>
    </w:p>
    <w:p>
      <w:pPr>
        <w:spacing w:before="320"/>
      </w:pPr>
      <w:r>
        <w:rPr>
          <w:b/>
          <w:color w:val="12304A"/>
          <w:sz w:val="28"/>
        </w:rPr>
        <w:t>5. Cost to Achieve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Item</w:t>
            </w:r>
          </w:p>
        </w:tc>
        <w:tc>
          <w:tcPr>
            <w:tcW w:type="dxa" w:w="3216"/>
          </w:tcPr>
          <w:p>
            <w:r>
              <w:rPr>
                <w:b/>
                <w:sz w:val="17"/>
              </w:rPr>
              <w:t>Amount</w:t>
            </w:r>
          </w:p>
        </w:tc>
        <w:tc>
          <w:tcPr>
            <w:tcW w:type="dxa" w:w="3216"/>
          </w:tcPr>
          <w:p>
            <w:r>
              <w:rPr>
                <w:b/>
                <w:sz w:val="17"/>
              </w:rPr>
              <w:t>Where it sits</w:t>
            </w:r>
          </w:p>
        </w:tc>
      </w:tr>
      <w:tr>
        <w:tc>
          <w:tcPr>
            <w:tcW w:type="dxa" w:w="3216"/>
          </w:tcPr>
          <w:p>
            <w:r>
              <w:rPr>
                <w:sz w:val="17"/>
              </w:rPr>
              <w:t>Integration program — authorized budget</w:t>
            </w:r>
          </w:p>
        </w:tc>
        <w:tc>
          <w:tcPr>
            <w:tcW w:type="dxa" w:w="3216"/>
          </w:tcPr>
          <w:p>
            <w:r>
              <w:rPr>
                <w:sz w:val="17"/>
              </w:rPr>
              <w:t>$52,500,000</w:t>
            </w:r>
          </w:p>
        </w:tc>
        <w:tc>
          <w:tcPr>
            <w:tcW w:type="dxa" w:w="3216"/>
          </w:tcPr>
          <w:p>
            <w:r>
              <w:rPr>
                <w:sz w:val="17"/>
              </w:rPr>
              <w:t>Integration Charter, Section 9</w:t>
            </w:r>
          </w:p>
        </w:tc>
      </w:tr>
      <w:tr>
        <w:tc>
          <w:tcPr>
            <w:tcW w:type="dxa" w:w="3216"/>
          </w:tcPr>
          <w:p>
            <w:r>
              <w:rPr>
                <w:sz w:val="17"/>
              </w:rPr>
              <w:t>Retention and severance</w:t>
            </w:r>
          </w:p>
        </w:tc>
        <w:tc>
          <w:tcPr>
            <w:tcW w:type="dxa" w:w="3216"/>
          </w:tcPr>
          <w:p>
            <w:r>
              <w:rPr>
                <w:sz w:val="17"/>
              </w:rPr>
              <w:t>Separately funded</w:t>
            </w:r>
          </w:p>
        </w:tc>
        <w:tc>
          <w:tcPr>
            <w:tcW w:type="dxa" w:w="3216"/>
          </w:tcPr>
          <w:p>
            <w:r>
              <w:rPr>
                <w:sz w:val="17"/>
              </w:rPr>
              <w:t>Human Resources authorization</w:t>
            </w:r>
          </w:p>
        </w:tc>
      </w:tr>
      <w:tr>
        <w:tc>
          <w:tcPr>
            <w:tcW w:type="dxa" w:w="3216"/>
          </w:tcPr>
          <w:p>
            <w:r>
              <w:rPr>
                <w:sz w:val="17"/>
              </w:rPr>
              <w:t>Transition Services Agreement fees</w:t>
            </w:r>
          </w:p>
        </w:tc>
        <w:tc>
          <w:tcPr>
            <w:tcW w:type="dxa" w:w="3216"/>
          </w:tcPr>
          <w:p>
            <w:r>
              <w:rPr>
                <w:sz w:val="17"/>
              </w:rPr>
              <w:t>Operating cost</w:t>
            </w:r>
          </w:p>
        </w:tc>
        <w:tc>
          <w:tcPr>
            <w:tcW w:type="dxa" w:w="3216"/>
          </w:tcPr>
          <w:p>
            <w:r>
              <w:rPr>
                <w:sz w:val="17"/>
              </w:rPr>
              <w:t>Carried by receiving functions, not the program</w:t>
            </w:r>
          </w:p>
        </w:tc>
      </w:tr>
      <w:tr>
        <w:tc>
          <w:tcPr>
            <w:tcW w:type="dxa" w:w="3216"/>
          </w:tcPr>
          <w:p>
            <w:r>
              <w:rPr>
                <w:sz w:val="17"/>
              </w:rPr>
              <w:t>Transaction costs (advisory, legal, financing)</w:t>
            </w:r>
          </w:p>
        </w:tc>
        <w:tc>
          <w:tcPr>
            <w:tcW w:type="dxa" w:w="3216"/>
          </w:tcPr>
          <w:p>
            <w:r>
              <w:rPr>
                <w:sz w:val="17"/>
              </w:rPr>
              <w:t>Excluded</w:t>
            </w:r>
          </w:p>
        </w:tc>
        <w:tc>
          <w:tcPr>
            <w:tcW w:type="dxa" w:w="3216"/>
          </w:tcPr>
          <w:p>
            <w:r>
              <w:rPr>
                <w:sz w:val="17"/>
              </w:rPr>
              <w:t>Corporate Development</w:t>
            </w:r>
          </w:p>
        </w:tc>
      </w:tr>
    </w:tbl>
    <w:p/>
    <w:p>
      <w:pPr>
        <w:spacing w:before="120"/>
        <w:ind w:left="360"/>
      </w:pPr>
      <w:r>
        <w:rPr>
          <w:i/>
          <w:color w:val="12304A"/>
          <w:sz w:val="20"/>
        </w:rPr>
        <w:t>The relationship worth stating plainly: it costs roughly $52.5M of program spend to establish $85M of annual run-rate saving. That is a strong return and it is also the number most often missing from a deal model presented to a board. Synergy cases are frequently expressed gross, as though the savings arrive on their own. They do not — they arrive because a program spends money and eighteen months to make them arrive. A program manager who cannot state the cost to achieve alongside the benefit is presenting half an argument, and it is the half the CFO already knows.</w:t>
      </w:r>
    </w:p>
    <w:p>
      <w:pPr>
        <w:spacing w:before="320"/>
      </w:pPr>
      <w:r>
        <w:rPr>
          <w:b/>
          <w:color w:val="12304A"/>
          <w:sz w:val="28"/>
        </w:rPr>
        <w:t>6. Dis-Synergies — What the Model Nets Out</w:t>
      </w:r>
    </w:p>
    <w:p>
      <w:r>
        <w:t>An allowance of $6,000,000 is netted inside the source figures in Section 3 to cover value the transaction destroys rather than creates. Carrying it explicitly is deliberate; deal models routinely omit it, and a closeout report that has to explain a gap it never budgeted for is describing a surprise rather than a plan.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Dis-synergy</w:t>
            </w:r>
          </w:p>
        </w:tc>
        <w:tc>
          <w:tcPr>
            <w:tcW w:type="dxa" w:w="4824"/>
          </w:tcPr>
          <w:p>
            <w:r>
              <w:rPr>
                <w:b/>
                <w:sz w:val="17"/>
              </w:rPr>
              <w:t>Mechanism</w:t>
            </w:r>
          </w:p>
        </w:tc>
      </w:tr>
      <w:tr>
        <w:tc>
          <w:tcPr>
            <w:tcW w:type="dxa" w:w="4824"/>
          </w:tcPr>
          <w:p>
            <w:r>
              <w:rPr>
                <w:sz w:val="17"/>
              </w:rPr>
              <w:t>Unplanned attrition and backfill</w:t>
            </w:r>
          </w:p>
        </w:tc>
        <w:tc>
          <w:tcPr>
            <w:tcW w:type="dxa" w:w="4824"/>
          </w:tcPr>
          <w:p>
            <w:r>
              <w:rPr>
                <w:sz w:val="17"/>
              </w:rPr>
              <w:t>Staff who expect to be made redundant leave before they are, and the ones who leave first are the ones with options — which correlates with the ones who understand the systems.</w:t>
            </w:r>
          </w:p>
        </w:tc>
      </w:tr>
      <w:tr>
        <w:tc>
          <w:tcPr>
            <w:tcW w:type="dxa" w:w="4824"/>
          </w:tcPr>
          <w:p>
            <w:r>
              <w:rPr>
                <w:sz w:val="17"/>
              </w:rPr>
              <w:t>Duplicate running cost during coexistence</w:t>
            </w:r>
          </w:p>
        </w:tc>
        <w:tc>
          <w:tcPr>
            <w:tcW w:type="dxa" w:w="4824"/>
          </w:tcPr>
          <w:p>
            <w:r>
              <w:rPr>
                <w:sz w:val="17"/>
              </w:rPr>
              <w:t>Both platforms run for the whole TSA period. Two of everything is the cost of not breaking Day 1.</w:t>
            </w:r>
          </w:p>
        </w:tc>
      </w:tr>
      <w:tr>
        <w:tc>
          <w:tcPr>
            <w:tcW w:type="dxa" w:w="4824"/>
          </w:tcPr>
          <w:p>
            <w:r>
              <w:rPr>
                <w:sz w:val="17"/>
              </w:rPr>
              <w:t>Management distraction</w:t>
            </w:r>
          </w:p>
        </w:tc>
        <w:tc>
          <w:tcPr>
            <w:tcW w:type="dxa" w:w="4824"/>
          </w:tcPr>
          <w:p>
            <w:r>
              <w:rPr>
                <w:sz w:val="17"/>
              </w:rPr>
              <w:t>Executives and workstream leads spend integration hours instead of operating hours. Real, and rarely quantified.</w:t>
            </w:r>
          </w:p>
        </w:tc>
      </w:tr>
      <w:tr>
        <w:tc>
          <w:tcPr>
            <w:tcW w:type="dxa" w:w="4824"/>
          </w:tcPr>
          <w:p>
            <w:r>
              <w:rPr>
                <w:sz w:val="17"/>
              </w:rPr>
              <w:t>Membership disruption</w:t>
            </w:r>
          </w:p>
        </w:tc>
        <w:tc>
          <w:tcPr>
            <w:tcW w:type="dxa" w:w="4824"/>
          </w:tcPr>
          <w:p>
            <w:r>
              <w:rPr>
                <w:sz w:val="17"/>
              </w:rPr>
              <w:t>Some employer groups and members move at renewal regardless of how well the integration is executed. Assumed, not hoped away.</w:t>
            </w:r>
          </w:p>
        </w:tc>
      </w:tr>
      <w:tr>
        <w:tc>
          <w:tcPr>
            <w:tcW w:type="dxa" w:w="4824"/>
          </w:tcPr>
          <w:p>
            <w:r>
              <w:rPr>
                <w:sz w:val="17"/>
              </w:rPr>
              <w:t>Lost purchasing terms</w:t>
            </w:r>
          </w:p>
        </w:tc>
        <w:tc>
          <w:tcPr>
            <w:tcW w:type="dxa" w:w="4824"/>
          </w:tcPr>
          <w:p>
            <w:r>
              <w:rPr>
                <w:sz w:val="17"/>
              </w:rPr>
              <w:t>Consolidating two vendor relationships into one occasionally loses a favorable legacy rate that volume does not recover.</w:t>
            </w:r>
          </w:p>
        </w:tc>
      </w:tr>
    </w:tbl>
    <w:p/>
    <w:p>
      <w:pPr>
        <w:spacing w:before="320"/>
      </w:pPr>
      <w:r>
        <w:rPr>
          <w:b/>
          <w:color w:val="12304A"/>
          <w:sz w:val="28"/>
        </w:rPr>
        <w:t>7. Why No Revenue Synergy Was Underwritten</w:t>
      </w:r>
    </w:p>
    <w:p>
      <w:r>
        <w:t>Every source in Section 3 is a cost synergy. Cross-sell opportunity, retention improvement and market-share upside were modeled for information and deliberately excluded from the committed number.</w:t>
      </w:r>
    </w:p>
    <w:p>
      <w:pPr>
        <w:spacing w:before="120"/>
        <w:ind w:left="360"/>
      </w:pPr>
      <w:r>
        <w:rPr>
          <w:i/>
          <w:color w:val="12304A"/>
          <w:sz w:val="20"/>
        </w:rPr>
        <w:t>The reasoning is a defensible position rather than conservatism for its own sake. Cost synergies are within the acquirer's control: the decision to retire a platform, terminate a duplicate contract or consolidate a function is a decision the combined entity simply makes. Revenue synergies depend on parties who did not sign the merger agreement — employer groups at renewal, brokers deciding what to recommend, regulators approving filings, providers agreeing terms. In a health plan the timing is worse still, because product and rate changes are bound to plan-year filing cycles that no program schedule can compress. Underwriting a number that other people control is how integration programs end up defending a shortfall they were never positioned to deliver.</w:t>
      </w:r>
    </w:p>
    <w:p>
      <w:r>
        <w:t>The practical consequence for the program is a clean one: the integration team is accountable for $85,000,000 of cost synergy and is not accountable for revenue upside. Where revenue benefits materialize, they are reported as upside outside the committed case.</w:t>
      </w:r>
    </w:p>
    <w:p>
      <w:pPr>
        <w:spacing w:before="320"/>
      </w:pPr>
      <w:r>
        <w:rPr>
          <w:b/>
          <w:color w:val="12304A"/>
          <w:sz w:val="28"/>
        </w:rPr>
        <w:t>8. Assumptions the Integration Program Must Test</w:t>
      </w:r>
    </w:p>
    <w:p>
      <w:r>
        <w:t>The deal model rests on assumptions that could not be verified before signing. Each is now owned by a workstream, with a date by which it must be confirmed or escalated.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Assumption</w:t>
            </w:r>
          </w:p>
        </w:tc>
        <w:tc>
          <w:tcPr>
            <w:tcW w:type="dxa" w:w="2412"/>
          </w:tcPr>
          <w:p>
            <w:r>
              <w:rPr>
                <w:b/>
                <w:sz w:val="17"/>
              </w:rPr>
              <w:t>Owner</w:t>
            </w:r>
          </w:p>
        </w:tc>
        <w:tc>
          <w:tcPr>
            <w:tcW w:type="dxa" w:w="2412"/>
          </w:tcPr>
          <w:p>
            <w:r>
              <w:rPr>
                <w:b/>
                <w:sz w:val="17"/>
              </w:rPr>
              <w:t>Test</w:t>
            </w:r>
          </w:p>
        </w:tc>
        <w:tc>
          <w:tcPr>
            <w:tcW w:type="dxa" w:w="2412"/>
          </w:tcPr>
          <w:p>
            <w:r>
              <w:rPr>
                <w:b/>
                <w:sz w:val="17"/>
              </w:rPr>
              <w:t>Exposure if wrong</w:t>
            </w:r>
          </w:p>
        </w:tc>
      </w:tr>
      <w:tr>
        <w:tc>
          <w:tcPr>
            <w:tcW w:type="dxa" w:w="2412"/>
          </w:tcPr>
          <w:p>
            <w:r>
              <w:rPr>
                <w:sz w:val="17"/>
              </w:rPr>
              <w:t>Target member and provider records are of workable quality</w:t>
            </w:r>
          </w:p>
        </w:tc>
        <w:tc>
          <w:tcPr>
            <w:tcW w:type="dxa" w:w="2412"/>
          </w:tcPr>
          <w:p>
            <w:r>
              <w:rPr>
                <w:sz w:val="17"/>
              </w:rPr>
              <w:t>Data &amp; EMPI</w:t>
            </w:r>
          </w:p>
        </w:tc>
        <w:tc>
          <w:tcPr>
            <w:tcW w:type="dxa" w:w="2412"/>
          </w:tcPr>
          <w:p>
            <w:r>
              <w:rPr>
                <w:sz w:val="17"/>
              </w:rPr>
              <w:t>Post-close profiling</w:t>
            </w:r>
          </w:p>
        </w:tc>
        <w:tc>
          <w:tcPr>
            <w:tcW w:type="dxa" w:w="2412"/>
          </w:tcPr>
          <w:p>
            <w:r>
              <w:rPr>
                <w:sz w:val="17"/>
              </w:rPr>
              <w:t>Highest. Gates the migration window and therefore the largest synergy source.</w:t>
            </w:r>
          </w:p>
        </w:tc>
      </w:tr>
      <w:tr>
        <w:tc>
          <w:tcPr>
            <w:tcW w:type="dxa" w:w="2412"/>
          </w:tcPr>
          <w:p>
            <w:r>
              <w:rPr>
                <w:sz w:val="17"/>
              </w:rPr>
              <w:t>ACME's core platform absorbs target volume without re-architecture</w:t>
            </w:r>
          </w:p>
        </w:tc>
        <w:tc>
          <w:tcPr>
            <w:tcW w:type="dxa" w:w="2412"/>
          </w:tcPr>
          <w:p>
            <w:r>
              <w:rPr>
                <w:sz w:val="17"/>
              </w:rPr>
              <w:t>Claims &amp; Core Admin</w:t>
            </w:r>
          </w:p>
        </w:tc>
        <w:tc>
          <w:tcPr>
            <w:tcW w:type="dxa" w:w="2412"/>
          </w:tcPr>
          <w:p>
            <w:r>
              <w:rPr>
                <w:sz w:val="17"/>
              </w:rPr>
              <w:t>Post-close load analysis</w:t>
            </w:r>
          </w:p>
        </w:tc>
        <w:tc>
          <w:tcPr>
            <w:tcW w:type="dxa" w:w="2412"/>
          </w:tcPr>
          <w:p>
            <w:r>
              <w:rPr>
                <w:sz w:val="17"/>
              </w:rPr>
              <w:t>Platform consolidation becomes critical path; $24,000,000 source at risk</w:t>
            </w:r>
          </w:p>
        </w:tc>
      </w:tr>
      <w:tr>
        <w:tc>
          <w:tcPr>
            <w:tcW w:type="dxa" w:w="2412"/>
          </w:tcPr>
          <w:p>
            <w:r>
              <w:rPr>
                <w:sz w:val="17"/>
              </w:rPr>
              <w:t>Target's material vendor contracts are assignable or novatable</w:t>
            </w:r>
          </w:p>
        </w:tc>
        <w:tc>
          <w:tcPr>
            <w:tcW w:type="dxa" w:w="2412"/>
          </w:tcPr>
          <w:p>
            <w:r>
              <w:rPr>
                <w:sz w:val="17"/>
              </w:rPr>
              <w:t>Vendor &amp; Contract</w:t>
            </w:r>
          </w:p>
        </w:tc>
        <w:tc>
          <w:tcPr>
            <w:tcW w:type="dxa" w:w="2412"/>
          </w:tcPr>
          <w:p>
            <w:r>
              <w:rPr>
                <w:sz w:val="17"/>
              </w:rPr>
              <w:t>Pre-close contract sweep</w:t>
            </w:r>
          </w:p>
        </w:tc>
        <w:tc>
          <w:tcPr>
            <w:tcW w:type="dxa" w:w="2412"/>
          </w:tcPr>
          <w:p>
            <w:r>
              <w:rPr>
                <w:sz w:val="17"/>
              </w:rPr>
              <w:t>A termination right held by a critical vendor is a Day 1 threat</w:t>
            </w:r>
          </w:p>
        </w:tc>
      </w:tr>
      <w:tr>
        <w:tc>
          <w:tcPr>
            <w:tcW w:type="dxa" w:w="2412"/>
          </w:tcPr>
          <w:p>
            <w:r>
              <w:rPr>
                <w:sz w:val="17"/>
              </w:rPr>
              <w:t>Provider contracts permit rationalization within the modeled window</w:t>
            </w:r>
          </w:p>
        </w:tc>
        <w:tc>
          <w:tcPr>
            <w:tcW w:type="dxa" w:w="2412"/>
          </w:tcPr>
          <w:p>
            <w:r>
              <w:rPr>
                <w:sz w:val="17"/>
              </w:rPr>
              <w:t>Provider Network</w:t>
            </w:r>
          </w:p>
        </w:tc>
        <w:tc>
          <w:tcPr>
            <w:tcW w:type="dxa" w:w="2412"/>
          </w:tcPr>
          <w:p>
            <w:r>
              <w:rPr>
                <w:sz w:val="17"/>
              </w:rPr>
              <w:t>Post-close contract review</w:t>
            </w:r>
          </w:p>
        </w:tc>
        <w:tc>
          <w:tcPr>
            <w:tcW w:type="dxa" w:w="2412"/>
          </w:tcPr>
          <w:p>
            <w:r>
              <w:rPr>
                <w:sz w:val="17"/>
              </w:rPr>
              <w:t>$19,000,000 source slips to later renewal cycles</w:t>
            </w:r>
          </w:p>
        </w:tc>
      </w:tr>
      <w:tr>
        <w:tc>
          <w:tcPr>
            <w:tcW w:type="dxa" w:w="2412"/>
          </w:tcPr>
          <w:p>
            <w:r>
              <w:rPr>
                <w:sz w:val="17"/>
              </w:rPr>
              <w:t>Critical target staff remain through TSA exit</w:t>
            </w:r>
          </w:p>
        </w:tc>
        <w:tc>
          <w:tcPr>
            <w:tcW w:type="dxa" w:w="2412"/>
          </w:tcPr>
          <w:p>
            <w:r>
              <w:rPr>
                <w:sz w:val="17"/>
              </w:rPr>
              <w:t>HR &amp; Talent</w:t>
            </w:r>
          </w:p>
        </w:tc>
        <w:tc>
          <w:tcPr>
            <w:tcW w:type="dxa" w:w="2412"/>
          </w:tcPr>
          <w:p>
            <w:r>
              <w:rPr>
                <w:sz w:val="17"/>
              </w:rPr>
              <w:t>Retention acceptance rates</w:t>
            </w:r>
          </w:p>
        </w:tc>
        <w:tc>
          <w:tcPr>
            <w:tcW w:type="dxa" w:w="2412"/>
          </w:tcPr>
          <w:p>
            <w:r>
              <w:rPr>
                <w:sz w:val="17"/>
              </w:rPr>
              <w:t>Knowledge loss; TSA extension</w:t>
            </w:r>
          </w:p>
        </w:tc>
      </w:tr>
      <w:tr>
        <w:tc>
          <w:tcPr>
            <w:tcW w:type="dxa" w:w="2412"/>
          </w:tcPr>
          <w:p>
            <w:r>
              <w:rPr>
                <w:sz w:val="17"/>
              </w:rPr>
              <w:t>No regulatory condition restricting data location or timing</w:t>
            </w:r>
          </w:p>
        </w:tc>
        <w:tc>
          <w:tcPr>
            <w:tcW w:type="dxa" w:w="2412"/>
          </w:tcPr>
          <w:p>
            <w:r>
              <w:rPr>
                <w:sz w:val="17"/>
              </w:rPr>
              <w:t>Legal &amp; Regulatory</w:t>
            </w:r>
          </w:p>
        </w:tc>
        <w:tc>
          <w:tcPr>
            <w:tcW w:type="dxa" w:w="2412"/>
          </w:tcPr>
          <w:p>
            <w:r>
              <w:rPr>
                <w:sz w:val="17"/>
              </w:rPr>
              <w:t>Form A approval terms</w:t>
            </w:r>
          </w:p>
        </w:tc>
        <w:tc>
          <w:tcPr>
            <w:tcW w:type="dxa" w:w="2412"/>
          </w:tcPr>
          <w:p>
            <w:r>
              <w:rPr>
                <w:sz w:val="17"/>
              </w:rPr>
              <w:t>Constrains resourcing options and platform choices</w:t>
            </w:r>
          </w:p>
        </w:tc>
      </w:tr>
    </w:tbl>
    <w:p/>
    <w:p>
      <w:pPr>
        <w:spacing w:before="120"/>
        <w:ind w:left="360"/>
      </w:pPr>
      <w:r>
        <w:rPr>
          <w:i/>
          <w:color w:val="12304A"/>
          <w:sz w:val="20"/>
        </w:rPr>
        <w:t>The first row is not one assumption among six. It is the assumption with the most riding on it and the least evidence behind it. It rests on management representations and aggregate reporting, because the Clean Team Protocol forbids testing target member records against ACME's before closing. The program cannot resolve this pre-close, cannot price it accurately, and cannot plan around it with confidence. What it can do is schedule the test first — profiling is the earliest substantive post-close activity precisely because everything expensive depends on the answer.</w:t>
      </w:r>
    </w:p>
    <w:p>
      <w:pPr>
        <w:spacing w:before="320"/>
      </w:pPr>
      <w:r>
        <w:rPr>
          <w:b/>
          <w:color w:val="12304A"/>
          <w:sz w:val="28"/>
        </w:rPr>
        <w:t>9. Ownership Transfer and Reporting Line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Item</w:t>
            </w:r>
          </w:p>
        </w:tc>
        <w:tc>
          <w:tcPr>
            <w:tcW w:type="dxa" w:w="3216"/>
          </w:tcPr>
          <w:p>
            <w:r>
              <w:rPr>
                <w:b/>
                <w:sz w:val="17"/>
              </w:rPr>
              <w:t>Transfers from</w:t>
            </w:r>
          </w:p>
        </w:tc>
        <w:tc>
          <w:tcPr>
            <w:tcW w:type="dxa" w:w="3216"/>
          </w:tcPr>
          <w:p>
            <w:r>
              <w:rPr>
                <w:b/>
                <w:sz w:val="17"/>
              </w:rPr>
              <w:t>Transfers to</w:t>
            </w:r>
          </w:p>
        </w:tc>
      </w:tr>
      <w:tr>
        <w:tc>
          <w:tcPr>
            <w:tcW w:type="dxa" w:w="3216"/>
          </w:tcPr>
          <w:p>
            <w:r>
              <w:rPr>
                <w:sz w:val="17"/>
              </w:rPr>
              <w:t>The synergy commitment</w:t>
            </w:r>
          </w:p>
        </w:tc>
        <w:tc>
          <w:tcPr>
            <w:tcW w:type="dxa" w:w="3216"/>
          </w:tcPr>
          <w:p>
            <w:r>
              <w:rPr>
                <w:sz w:val="17"/>
              </w:rPr>
              <w:t>Corporate Development (T. Broadnax)</w:t>
            </w:r>
          </w:p>
        </w:tc>
        <w:tc>
          <w:tcPr>
            <w:tcW w:type="dxa" w:w="3216"/>
          </w:tcPr>
          <w:p>
            <w:r>
              <w:rPr>
                <w:sz w:val="17"/>
              </w:rPr>
              <w:t>Executive Sponsor (D. Ashmore), tracked by the IMO</w:t>
            </w:r>
          </w:p>
        </w:tc>
      </w:tr>
      <w:tr>
        <w:tc>
          <w:tcPr>
            <w:tcW w:type="dxa" w:w="3216"/>
          </w:tcPr>
          <w:p>
            <w:r>
              <w:rPr>
                <w:sz w:val="17"/>
              </w:rPr>
              <w:t>Synergy decomposition and owners</w:t>
            </w:r>
          </w:p>
        </w:tc>
        <w:tc>
          <w:tcPr>
            <w:tcW w:type="dxa" w:w="3216"/>
          </w:tcPr>
          <w:p>
            <w:r>
              <w:rPr>
                <w:sz w:val="17"/>
              </w:rPr>
              <w:t>Deal model</w:t>
            </w:r>
          </w:p>
        </w:tc>
        <w:tc>
          <w:tcPr>
            <w:tcW w:type="dxa" w:w="3216"/>
          </w:tcPr>
          <w:p>
            <w:r>
              <w:rPr>
                <w:sz w:val="17"/>
              </w:rPr>
              <w:t>Synergy Realization Plan, with a named owner per source</w:t>
            </w:r>
          </w:p>
        </w:tc>
      </w:tr>
      <w:tr>
        <w:tc>
          <w:tcPr>
            <w:tcW w:type="dxa" w:w="3216"/>
          </w:tcPr>
          <w:p>
            <w:r>
              <w:rPr>
                <w:sz w:val="17"/>
              </w:rPr>
              <w:t>Monthly measurement</w:t>
            </w:r>
          </w:p>
        </w:tc>
        <w:tc>
          <w:tcPr>
            <w:tcW w:type="dxa" w:w="3216"/>
          </w:tcPr>
          <w:p>
            <w:r>
              <w:rPr>
                <w:sz w:val="17"/>
              </w:rPr>
              <w:t>—</w:t>
            </w:r>
          </w:p>
        </w:tc>
        <w:tc>
          <w:tcPr>
            <w:tcW w:type="dxa" w:w="3216"/>
          </w:tcPr>
          <w:p>
            <w:r>
              <w:rPr>
                <w:sz w:val="17"/>
              </w:rPr>
              <w:t>Synergy &amp; Financial Analyst (J. Petrosyan), reporting into the Synergy Tracker</w:t>
            </w:r>
          </w:p>
        </w:tc>
      </w:tr>
      <w:tr>
        <w:tc>
          <w:tcPr>
            <w:tcW w:type="dxa" w:w="3216"/>
          </w:tcPr>
          <w:p>
            <w:r>
              <w:rPr>
                <w:sz w:val="17"/>
              </w:rPr>
              <w:t>Assumption testing</w:t>
            </w:r>
          </w:p>
        </w:tc>
        <w:tc>
          <w:tcPr>
            <w:tcW w:type="dxa" w:w="3216"/>
          </w:tcPr>
          <w:p>
            <w:r>
              <w:rPr>
                <w:sz w:val="17"/>
              </w:rPr>
              <w:t>Diligence</w:t>
            </w:r>
          </w:p>
        </w:tc>
        <w:tc>
          <w:tcPr>
            <w:tcW w:type="dxa" w:w="3216"/>
          </w:tcPr>
          <w:p>
            <w:r>
              <w:rPr>
                <w:sz w:val="17"/>
              </w:rPr>
              <w:t>Named workstreams per Section 8</w:t>
            </w:r>
          </w:p>
        </w:tc>
      </w:tr>
      <w:tr>
        <w:tc>
          <w:tcPr>
            <w:tcW w:type="dxa" w:w="3216"/>
          </w:tcPr>
          <w:p>
            <w:r>
              <w:rPr>
                <w:sz w:val="17"/>
              </w:rPr>
              <w:t>Reporting to the board</w:t>
            </w:r>
          </w:p>
        </w:tc>
        <w:tc>
          <w:tcPr>
            <w:tcW w:type="dxa" w:w="3216"/>
          </w:tcPr>
          <w:p>
            <w:r>
              <w:rPr>
                <w:sz w:val="17"/>
              </w:rPr>
              <w:t>Corporate Development</w:t>
            </w:r>
          </w:p>
        </w:tc>
        <w:tc>
          <w:tcPr>
            <w:tcW w:type="dxa" w:w="3216"/>
          </w:tcPr>
          <w:p>
            <w:r>
              <w:rPr>
                <w:sz w:val="17"/>
              </w:rPr>
              <w:t>Executive Sponsor, on program reporting</w:t>
            </w:r>
          </w:p>
        </w:tc>
      </w:tr>
    </w:tbl>
    <w:p/>
    <w:p>
      <w:pPr>
        <w:spacing w:before="120"/>
        <w:ind w:left="360"/>
      </w:pPr>
      <w:r>
        <w:rPr>
          <w:i/>
          <w:color w:val="12304A"/>
          <w:sz w:val="20"/>
        </w:rPr>
        <w:t>One decision inside this table deserves to be defended, because it is the one most often got wrong. Synergy measurement sits with the IMO's own financial analyst rather than with the business functions that deliver the savings. Letting each function self-report its own synergy attainment produces an aggregate that always looks better than the general ledger, because every function counts every favorable variance as integration benefit. Independent measurement against a defined baseline is duller and less popular, and it is the only version an interviewer or an auditor will believe.</w:t>
      </w:r>
    </w:p>
    <w:p>
      <w:r>
        <w:t>Related artifacts: 1 — Integration Charter · 5 — Clean Team Protocol · 7 — Due Diligence Findings · 13 — Synergy Realization Plan · 41 — Synergy Tracker · 46 — Closeout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