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27 ·</w:t>
      </w:r>
    </w:p>
    <w:p>
      <w:r>
        <w:rPr>
          <w:b/>
          <w:color w:val="12304A"/>
          <w:sz w:val="44"/>
        </w:rPr>
        <w:t>Legal Entity Consolidation</w:t>
      </w:r>
    </w:p>
    <w:p>
      <w:r>
        <w:rPr>
          <w:i/>
          <w:color w:val="6B7280"/>
          <w:sz w:val="17"/>
        </w:rPr>
        <w:t>This document is a point-in-time artifact, issued November 13, 2023, six weeks post-close. It reflects regulatory and operational realities as understood at that date. Insurance consolidation timelines and approval pathways are subject to state regulatory discretion and may change based on subsequent developments. The program's operational integration is independent of legal entity consolidation decisions. Learn more about how to read this suite.</w:t>
      </w:r>
    </w:p>
    <w:p/>
    <w:p>
      <w:r>
        <w:t>Issued November 13, 2023 — six weeks after close, driven by the December 31 statutory year-end. Insurance policies are contracts with members. A book of business cannot be moved the way a company is. Consolidation of insurance entities requires either statutory merger approval by the domiciliary regulator or assumption reinsurance with policyholder notice. NAIC statutory capital, rate filings, and form filings are calculated per entity. The realistic result: Cumberland Valley remains a licensed subsidiary for years. The consolidation outlives the program.</w:t>
      </w:r>
    </w:p>
    <w:p>
      <w:pPr>
        <w:spacing w:before="320"/>
      </w:pPr>
      <w:r>
        <w:rPr>
          <w:b/>
          <w:color w:val="12304A"/>
          <w:sz w:val="28"/>
        </w:rPr>
        <w:t>1. Insurance Consolidation is Not M&amp;A Consolidation</w:t>
      </w:r>
    </w:p>
    <w:p>
      <w:r>
        <w:t>A commercial company can be acquired, merged into the buyer, and consolidated into a single legal entity within weeks. Its customers have contracts with the new entity. Its regulatory licenses follow the legal form. Its balance sheet joins the consolidated statements.</w:t>
      </w:r>
    </w:p>
    <w:p>
      <w:r>
        <w:t>A health plan cannot. Insurance policies are contracts with a specific insurer. When ACME acquires Cumberland Valley, Cumberland Valley's members have contracts with Cumberland Valley, not with ACME. Moving those contracts requires one of two things: (1) approval of a statutory merger by the domiciliary insurance regulator, or (2) assumption reinsurance, where ACME assumes the liabilities and members receive notice that their contracts now bind ACME instead.</w:t>
      </w:r>
    </w:p>
    <w:p>
      <w:pPr>
        <w:spacing w:before="120"/>
        <w:ind w:left="360"/>
      </w:pPr>
      <w:r>
        <w:rPr>
          <w:i/>
          <w:color w:val="12304A"/>
          <w:sz w:val="20"/>
        </w:rPr>
        <w:t>The operational difference is structural. A company acquisition changes who owns the company. An insurance consolidation changes who insures the members. One is a transaction; the other is a regulatory event. The first can close in two weeks post-signing; the second typically takes six to twelve months from application to approval, and in many states involves public comment and hearing procedures.</w:t>
      </w:r>
    </w:p>
    <w:p>
      <w:pPr>
        <w:spacing w:before="320"/>
      </w:pPr>
      <w:r>
        <w:rPr>
          <w:b/>
          <w:color w:val="12304A"/>
          <w:sz w:val="28"/>
        </w:rPr>
        <w:t>2. Domiciliary Regulation and Statutory Capital</w:t>
      </w:r>
    </w:p>
    <w:p>
      <w:r>
        <w:t>Each health plan is domiciled in a state and is regulated as an insurer in that state. Cumberland Valley is domiciled in Tennessee; ACME is domiciled in North Carolina. Both states maintain separate statutory accounts, require separate rate filings for any product changes, and calculate regulatory capital separately using NAIC formulas.</w:t>
      </w:r>
    </w:p>
    <w:p>
      <w:r>
        <w:t>The immediate consequence: Cumberland Valley cannot be merged into ACME's North Carolina holding company or subsidiary structure without approval from the Tennessee Department of Insurance. Tennessee will require evidence that the surviving entity (or the successor assuming the policies) meets Tennessee capital requirements as of the effective date of the consolidation and going forward.</w:t>
      </w:r>
    </w:p>
    <w:p>
      <w:pPr>
        <w:spacing w:before="120"/>
        <w:ind w:left="360"/>
      </w:pPr>
      <w:r>
        <w:rPr>
          <w:i/>
          <w:color w:val="12304A"/>
          <w:sz w:val="20"/>
        </w:rPr>
        <w:t>A redomiciliation (changing domicile from Tennessee to North Carolina) is even slower than a statutory merger. The plan must apply in North Carolina, be approved there, and then withdraw from Tennessee. The process routinely takes eighteen to twenty-four months and requires showing that capital and reserves remain adequate at each step. This is why most insurance consolidations simply leave the target as a subsidiary in its original domicile indefinitely.</w:t>
      </w:r>
    </w:p>
    <w:p>
      <w:pPr>
        <w:spacing w:before="320"/>
      </w:pPr>
      <w:r>
        <w:rPr>
          <w:b/>
          <w:color w:val="12304A"/>
          <w:sz w:val="28"/>
        </w:rPr>
        <w:t>3. The Three Paths Forward</w:t>
      </w:r>
    </w:p>
    <w:p>
      <w:r>
        <w:t>Three structures are available. Each has different timelines, capital requirements, and ongoing costs.</w:t>
      </w:r>
    </w:p>
    <w:p>
      <w:pPr>
        <w:spacing w:before="200"/>
      </w:pPr>
      <w:r>
        <w:rPr>
          <w:b/>
          <w:color w:val="2B5F8E"/>
          <w:sz w:val="23"/>
        </w:rPr>
        <w:t>Path 1: Statutory Merger (6–12 months)</w:t>
      </w:r>
    </w:p>
    <w:p>
      <w:r>
        <w:t>Cumberland Valley is merged into ACME under Tennessee law. ACME adopts the Cumberland Valley license and assumes all policies. Requires written application to Tennessee DOI, evidence of capital adequacy, and approval before the merger can close. Members receive thirty days' notice. Policies convert automatically to ACME. Successor has single license, single rate filing obligation, unified capital pool.</w:t>
      </w:r>
    </w:p>
    <w:p>
      <w:r>
        <w:t>Cost: regulatory filing and legal fees (~$75K–150K). Timeline: application through approval, six to twelve months. Ongoing: unified operations, single capital requirement.</w:t>
      </w:r>
    </w:p>
    <w:p>
      <w:pPr>
        <w:spacing w:before="200"/>
      </w:pPr>
      <w:r>
        <w:rPr>
          <w:b/>
          <w:color w:val="2B5F8E"/>
          <w:sz w:val="23"/>
        </w:rPr>
        <w:t>Path 2: Assumption Reinsurance (3–6 months)</w:t>
      </w:r>
    </w:p>
    <w:p>
      <w:r>
        <w:t>ACME assumes Cumberland Valley's liabilities under a reinsurance agreement. Cumberland Valley remains the contracting insurer; ACME bears the risk. Members receive notice (NAIC Model Act requires thirty days). Policies remain in Cumberland Valley's name but are backed by ACME's capital. Cumberland Valley continues as licensed entity with minimal operations.</w:t>
      </w:r>
    </w:p>
    <w:p>
      <w:r>
        <w:t>Cost: legal and actuarial work, reinsurance agreement (~$50K–100K). Timeline: agreement drafting and approval, three to six months. Ongoing: two licenses, two capital requirements, two rate filings if anything changes.</w:t>
      </w:r>
    </w:p>
    <w:p>
      <w:pPr>
        <w:spacing w:before="200"/>
      </w:pPr>
      <w:r>
        <w:rPr>
          <w:b/>
          <w:color w:val="2B5F8E"/>
          <w:sz w:val="23"/>
        </w:rPr>
        <w:t>Path 3: Subsidiary Indefinitely (0 months, ongoing cost)</w:t>
      </w:r>
    </w:p>
    <w:p>
      <w:r>
        <w:t>Cumberland Valley remains a licensed subsidiary of ACME. No consolidation is pursued. Operations are integrated—claims, enrollment, provider networks run through ACME systems. The entity persists only for regulatory and historical reasons. Policies remain with Cumberland Valley; capital and statutory reporting remain separate.</w:t>
      </w:r>
    </w:p>
    <w:p>
      <w:r>
        <w:t>Cost: filing maintenance, duplicate compliance overhead (~$15K–25K annually). Timeline: none—subsidiary structure begins immediately at close. Ongoing: two entities indefinitely, though one is operationally hollow.</w:t>
      </w:r>
    </w:p>
    <w:p>
      <w:pPr>
        <w:spacing w:before="120"/>
        <w:ind w:left="360"/>
      </w:pPr>
      <w:r>
        <w:rPr>
          <w:i/>
          <w:color w:val="12304A"/>
          <w:sz w:val="20"/>
        </w:rPr>
        <w:t>Path 3 is the most common outcome in health plan M&amp;A because it has zero go-live risk and requires no regulatory approval. The operational integration happens regardless of the legal structure. The subsidiary can be consolidated later if desired, with no rush, no deadline, and full operational evidence that the integration worked. Most acquirers consolidate on a successor owner's timeline, or not at all.</w:t>
      </w:r>
    </w:p>
    <w:p>
      <w:pPr>
        <w:spacing w:before="320"/>
      </w:pPr>
      <w:r>
        <w:rPr>
          <w:b/>
          <w:color w:val="12304A"/>
          <w:sz w:val="28"/>
        </w:rPr>
        <w:t>4. Day 1 Legal Entity Requirements</w:t>
      </w:r>
    </w:p>
    <w:p>
      <w:r>
        <w:t>Regardless of which path is chosen, four things must happen at close or immediately after.</w:t>
      </w:r>
    </w:p>
    <w:p>
      <w:pPr>
        <w:spacing w:before="200"/>
      </w:pPr>
      <w:r>
        <w:rPr>
          <w:b/>
          <w:color w:val="2B5F8E"/>
          <w:sz w:val="23"/>
        </w:rPr>
        <w:t>LE-01: Ownership and Board Governance</w:t>
      </w:r>
    </w:p>
    <w:p>
      <w:r>
        <w:t>Cumberland Valley's ownership changes from Cheatham Mutual Holdings to ACME at close. The board of directors is reconstituted. ACME appoints directors to Cumberland Valley's board (or appoints a new board entirely if the entity becomes a direct subsidiary of ACME). Officers are appointed or reappointed. Bylaws and governance documents are updated to reflect ACME ownership.</w:t>
      </w:r>
    </w:p>
    <w:p>
      <w:r>
        <w:t>Timeline: completed by Day 1 or within one week of close. Owner: F. Underhill (Legal, Regulatory &amp; Compliance).</w:t>
      </w:r>
    </w:p>
    <w:p>
      <w:pPr>
        <w:spacing w:before="120"/>
        <w:ind w:left="360"/>
      </w:pPr>
      <w:r>
        <w:rPr>
          <w:i/>
          <w:color w:val="12304A"/>
          <w:sz w:val="20"/>
        </w:rPr>
        <w:t>This looks like corporate housekeeping and is the most critical regulatory requirement. The state regulator's first question after close is "who owns the company now and who approves decisions." Failure to execute clean governance creates a gap between legal form and operating reality that regulators flag immediately. The documentation is routine but the timing is not optional.</w:t>
      </w:r>
    </w:p>
    <w:p>
      <w:pPr>
        <w:spacing w:before="200"/>
      </w:pPr>
      <w:r>
        <w:rPr>
          <w:b/>
          <w:color w:val="2B5F8E"/>
          <w:sz w:val="23"/>
        </w:rPr>
        <w:t>LE-02: Licenses and Regulatory Filings</w:t>
      </w:r>
    </w:p>
    <w:p>
      <w:r>
        <w:t>Cumberland Valley's licenses in all states where it is admitted (Tennessee, plus any other states where policies are issued) must be updated to reflect the change of control. Most states require notification within fifteen days. Some states require prior approval of the change of control; others require post-close notification. The General Counsel's office maintains the inventory and files the notifications in each state.</w:t>
      </w:r>
    </w:p>
    <w:p>
      <w:r>
        <w:t>Timeline: notifications filed within fifteen days of close. Owner: F. Underhill.</w:t>
      </w:r>
    </w:p>
    <w:p>
      <w:pPr>
        <w:spacing w:before="200"/>
      </w:pPr>
      <w:r>
        <w:rPr>
          <w:b/>
          <w:color w:val="2B5F8E"/>
          <w:sz w:val="23"/>
        </w:rPr>
        <w:t>LE-03: Statutory Accounting and Capital Adequacy</w:t>
      </w:r>
    </w:p>
    <w:p>
      <w:r>
        <w:t>Cumberland Valley prepares a statutory balance sheet as of close reflecting ACME ownership. The statutory capital is calculated using NAIC formulas. Evidence of capital adequacy is prepared and filed with the Tennessee Department of Insurance. If Cumberland Valley does not meet Tennessee capital requirements on a standalone basis immediately post-close, a capital plan must be submitted showing how requirements will be met within a specified period (typically 120 days).</w:t>
      </w:r>
    </w:p>
    <w:p>
      <w:r>
        <w:t>Timeline: statutory financials prepared by Day 30; filed by Day 60. Owner: Dr. A. Ravindran (Finance) and F. Underhill (Regulatory Reporting).</w:t>
      </w:r>
    </w:p>
    <w:p>
      <w:pPr>
        <w:spacing w:before="200"/>
      </w:pPr>
      <w:r>
        <w:rPr>
          <w:b/>
          <w:color w:val="2B5F8E"/>
          <w:sz w:val="23"/>
        </w:rPr>
        <w:t>LE-04: Policyholder Notification (if applicable)</w:t>
      </w:r>
    </w:p>
    <w:p>
      <w:r>
        <w:t>If the change of control is material under state law (which it likely is), or if assumption reinsurance is chosen, policyholders receive written notice of the change within a specified period (typically thirty days of close). The notice states who now controls the plan, what changes (if any) to member coverage occur, and member rights under the new arrangement. Language is regulated; proposed notice must be approved by the state before distribution.</w:t>
      </w:r>
    </w:p>
    <w:p>
      <w:r>
        <w:t>Timeline: notice drafted by Day 14; submitted for state approval by Day 21; distributed by Day 45. Owner: T. Vandiver (Member Services) and F. Underhill.</w:t>
      </w:r>
    </w:p>
    <w:p>
      <w:pPr>
        <w:spacing w:before="320"/>
      </w:pPr>
      <w:r>
        <w:rPr>
          <w:b/>
          <w:color w:val="12304A"/>
          <w:sz w:val="28"/>
        </w:rPr>
        <w:t>5. Year 1 Consolidation Roadmap</w:t>
      </w:r>
    </w:p>
    <w:p>
      <w:r>
        <w:t>Across the planned Year 1 window (October 2023 through September 2024), the program has the option to pursue consolidation if desired. Three planning windows exist for different stages of the process; all dates below are planned, and none is committed until the Steering Committee elects to proceed.</w:t>
      </w:r>
    </w:p>
    <w:p>
      <w:pPr>
        <w:spacing w:before="200"/>
      </w:pPr>
      <w:r>
        <w:rPr>
          <w:b/>
          <w:color w:val="2B5F8E"/>
          <w:sz w:val="23"/>
        </w:rPr>
        <w:t>Q4 2023 — Consolidation Decision (November through December)</w:t>
      </w:r>
    </w:p>
    <w:p>
      <w:r>
        <w:t>The program decides which path to pursue: statutory merger, assumption reinsurance, or subsidiary indefinitely. The decision is made by the Steering Committee, informed by legal analysis, capital adequacy modeling, and operational integration status. Once decided, applications (if necessary) are filed immediately so approval can be sought in 2024.</w:t>
      </w:r>
    </w:p>
    <w:p>
      <w:r>
        <w:t>Path decision driver: if operational integration is solid by November and no complicating factors exist (pending litigation, state regulatory questions, capital adequacy issues), merger is recommended. Otherwise, assumption reinsurance maintains optionality with shorter approval timeline. Subsidiary indefinitely is always available and requires no decision deadline.</w:t>
      </w:r>
    </w:p>
    <w:p>
      <w:pPr>
        <w:spacing w:before="200"/>
      </w:pPr>
      <w:r>
        <w:rPr>
          <w:b/>
          <w:color w:val="2B5F8E"/>
          <w:sz w:val="23"/>
        </w:rPr>
        <w:t>Planned Q1–Q2 2024 — Regulatory Applications and Member Communications (January through June)</w:t>
      </w:r>
    </w:p>
    <w:p>
      <w:r>
        <w:t>If merger or assumption reinsurance is chosen, formal applications are submitted to the Tennessee Department of Insurance. The application includes the merger agreement (or reinsurance agreement), actuarial opinions, and financial projections. Tennessee may request additional information. The public comment period (if required) opens and closes. Hearings occur if requested. The department issues a decision letter.</w:t>
      </w:r>
    </w:p>
    <w:p>
      <w:r>
        <w:t>During this window, member communications are prepared (mailpiece to all members explaining the consolidation and its effect). COBRA notices are sent to terminating members. Broker communications are made. Changes to identification cards (if any) are printed.</w:t>
      </w:r>
    </w:p>
    <w:p>
      <w:r>
        <w:t>Timeline: application filed by January 31; approval expected by June 30 (if no complications). Owner: F. Underhill and R. Lattimore (Operations).</w:t>
      </w:r>
    </w:p>
    <w:p>
      <w:pPr>
        <w:spacing w:before="200"/>
      </w:pPr>
      <w:r>
        <w:rPr>
          <w:b/>
          <w:color w:val="2B5F8E"/>
          <w:sz w:val="23"/>
        </w:rPr>
        <w:t>Planned Q3–Q4 2024 — Consolidation Effective Date (July through September)</w:t>
      </w:r>
    </w:p>
    <w:p>
      <w:r>
        <w:t>If approval is received, the consolidation becomes effective on a date specified in the approval letter (typically July 1 or September 1 of the approval year, to align with policy renewal dates). Cumberland Valley is merged into ACME (or assumption reinsurance becomes effective). Policies are reissued under ACME's license (if merger) or assume ACME backing (if reinsurance). Statutory accounting changes to consolidate Cumberland Valley into ACME's regulatory filings.</w:t>
      </w:r>
    </w:p>
    <w:p>
      <w:r>
        <w:t>Data migration of any remaining system-specific elements (if any survived integration) occurs at consolidation effective date. Reporting to members and regulators reflects new structure.</w:t>
      </w:r>
    </w:p>
    <w:p>
      <w:r>
        <w:t>Timeline: planned effective date Q3 2024 if approval lands in Q2; Q4 2024 or later if approval is delayed. Owner: F. Underhill and B. Trammell (Technology).</w:t>
      </w:r>
    </w:p>
    <w:p>
      <w:pPr>
        <w:spacing w:before="120"/>
        <w:ind w:left="360"/>
      </w:pPr>
      <w:r>
        <w:rPr>
          <w:i/>
          <w:color w:val="12304A"/>
          <w:sz w:val="20"/>
        </w:rPr>
        <w:t>Do not schedule consolidation to occur during the program's crisis period (April–June 2024). If data profiling delays surface and TSA extension is required, regulatory attention will be focused on remediation. Pushing consolidation approval to later in 2024 removes the risk of conflicting regulatory communications. The decision can be revisited after crisis resolution.</w:t>
      </w:r>
    </w:p>
    <w:p>
      <w:pPr>
        <w:spacing w:before="320"/>
      </w:pPr>
      <w:r>
        <w:rPr>
          <w:b/>
          <w:color w:val="12304A"/>
          <w:sz w:val="28"/>
        </w:rPr>
        <w:t>6. Licensing, Filings, and Regulatory Compliance</w:t>
      </w:r>
    </w:p>
    <w:p>
      <w:r>
        <w:t>Several concurrent tracks must be managed during Year 1, regardless of which consolidation path is chosen.</w:t>
      </w:r>
    </w:p>
    <w:p>
      <w:pPr>
        <w:spacing w:before="200"/>
      </w:pPr>
      <w:r>
        <w:rPr>
          <w:b/>
          <w:color w:val="2B5F8E"/>
          <w:sz w:val="23"/>
        </w:rPr>
        <w:t>Rate Filings</w:t>
      </w:r>
    </w:p>
    <w:p>
      <w:r>
        <w:t>If any rate changes are contemplated for the combined book of business, those filings must be prepared under NAIC rules. Two entities (ACME and Cumberland Valley) must each file separately if rates are changing. If one plan is consolidated into the other, only the surviving entity files. Rate filings take sixty to ninety days for approval in Tennessee. Plan any consolidation or rate filing to account for this delay.</w:t>
      </w:r>
    </w:p>
    <w:p>
      <w:pPr>
        <w:spacing w:before="200"/>
      </w:pPr>
      <w:r>
        <w:rPr>
          <w:b/>
          <w:color w:val="2B5F8E"/>
          <w:sz w:val="23"/>
        </w:rPr>
        <w:t>Form A Amendments</w:t>
      </w:r>
    </w:p>
    <w:p>
      <w:r>
        <w:t>If the original Form A (the application filed for regulatory approval of the acquisition) specified Cumberland Valley would remain a subsidiary, no amendment is needed. If the original Form A contemplated consolidation, and consolidation has not occurred by a specified date, an amendment may be required to explain the delay. Confirm the Form A language with F. Underhill.</w:t>
      </w:r>
    </w:p>
    <w:p>
      <w:pPr>
        <w:spacing w:before="200"/>
      </w:pPr>
      <w:r>
        <w:rPr>
          <w:b/>
          <w:color w:val="2B5F8E"/>
          <w:sz w:val="23"/>
        </w:rPr>
        <w:t>Annual Statutory Filings (2024)</w:t>
      </w:r>
    </w:p>
    <w:p>
      <w:r>
        <w:t>Cumberland Valley files a 2023 statutory annual statement with the Tennessee Department of Insurance (covering close through the end of the first calendar year) by the statutory deadline. This filing is prepared on a standalone basis regardless of consolidation status. If consolidation is approved and effective during 2024, the subsequent annual statement will reflect either the merged entity (if merger) or the reinsured structure (if assumption reinsurance).</w:t>
      </w:r>
    </w:p>
    <w:p>
      <w:pPr>
        <w:spacing w:before="200"/>
      </w:pPr>
      <w:r>
        <w:rPr>
          <w:b/>
          <w:color w:val="2B5F8E"/>
          <w:sz w:val="23"/>
        </w:rPr>
        <w:t>Capital Adequacy Monitoring</w:t>
      </w:r>
    </w:p>
    <w:p>
      <w:r>
        <w:t>Cumberland Valley's statutory capital position is monitored quarterly during Year 1. If capital falls below required levels, a capital plan is required. Capital can come from (1) retained earnings, (2) a capital contribution from the parent, or (3) business growth. Plan for either a capital contribution (~$5M–$10M, depending on 2024 experience) or business performance sufficient to maintain adequacy. Do not allow capital deficiency to emerge as a surprise in regulatory interactions.</w:t>
      </w:r>
    </w:p>
    <w:p>
      <w:pPr>
        <w:spacing w:before="320"/>
      </w:pPr>
      <w:r>
        <w:rPr>
          <w:b/>
          <w:color w:val="12304A"/>
          <w:sz w:val="28"/>
        </w:rPr>
        <w:t>7. Program Close and Successor Handoff</w:t>
      </w:r>
    </w:p>
    <w:p>
      <w:r>
        <w:t>The program is scheduled to close on April 30, 2025. Operational integration is complete. At that point, Cumberland Valley's legal consolidation is either (1) done, (2) in progress, or (3) deferred.</w:t>
      </w:r>
    </w:p>
    <w:p>
      <w:pPr>
        <w:spacing w:before="200"/>
      </w:pPr>
      <w:r>
        <w:rPr>
          <w:b/>
          <w:color w:val="2B5F8E"/>
          <w:sz w:val="23"/>
        </w:rPr>
        <w:t>Scenario 1: Consolidation Complete by Program Close</w:t>
      </w:r>
    </w:p>
    <w:p>
      <w:r>
        <w:t>If statutory merger or assumption reinsurance was approved and effective during 2024, Cumberland Valley is either merged into ACME or its policies are reinsured by ACME. A successor operations team inherits an integrated company with unified licensing. Legal entity work transitions to the combined compliance function. No further M&amp;A-specific legal work is required beyond normal regulatory compliance.</w:t>
      </w:r>
    </w:p>
    <w:p>
      <w:pPr>
        <w:spacing w:before="200"/>
      </w:pPr>
      <w:r>
        <w:rPr>
          <w:b/>
          <w:color w:val="2B5F8E"/>
          <w:sz w:val="23"/>
        </w:rPr>
        <w:t>Scenario 2: Consolidation Approved but Effective After Program Close</w:t>
      </w:r>
    </w:p>
    <w:p>
      <w:r>
        <w:t>If approval is received but the effective date is expected to fall in Q3 or Q4 2025 or later, the program hands off to a successor project. A transition manager is appointed. Continuity documents are prepared (approval letters, consolidation agreements, system cutover readiness). The successor project executes the technical work (policy reissuance, data migration, member and broker communications, regulatory notice filings). Legal entity consolidation is their responsibility, not the acquisition program's.</w:t>
      </w:r>
    </w:p>
    <w:p>
      <w:pPr>
        <w:spacing w:before="200"/>
      </w:pPr>
      <w:r>
        <w:rPr>
          <w:b/>
          <w:color w:val="2B5F8E"/>
          <w:sz w:val="23"/>
        </w:rPr>
        <w:t>Scenario 3: Consolidation Deferred (Subsidiary Indefinitely)</w:t>
      </w:r>
    </w:p>
    <w:p>
      <w:r>
        <w:t>If the decision is made to leave Cumberland Valley as a subsidiary, there is no successor project. Cumberland Valley continues as a licensed subsidiary with minimal regulatory compliance overhead (~$15K–25K annually for license maintenance and statutory filing support). Operational decisions affecting Cumberland Valley (rate changes, coverage changes, market exits) are made by the combined company's business teams, but the legal entity persists unchanged. If a future owner decides to consolidate, that decision is made on their timeline, with their capital, under their risk profile.</w:t>
      </w:r>
    </w:p>
    <w:p>
      <w:pPr>
        <w:spacing w:before="120"/>
        <w:ind w:left="360"/>
      </w:pPr>
      <w:r>
        <w:rPr>
          <w:i/>
          <w:color w:val="12304A"/>
          <w:sz w:val="20"/>
        </w:rPr>
        <w:t>Any of these outcomes is acceptable and none signals program failure. The program's job is integration of operations, not consolidation of legal entities. Leaving Cumberland Valley as a subsidiary is a defensible choice if the operational integration works. It reduces complexity at close, eliminates regulatory approval risk, and preserves optionality. The real measure is whether members see no disruption and operations run smoothly—not whether the holding company chart is simplified.</w:t>
      </w:r>
    </w:p>
    <w:p>
      <w:pPr>
        <w:spacing w:before="200"/>
      </w:pPr>
      <w:r>
        <w:rPr>
          <w:b/>
          <w:color w:val="2B5F8E"/>
          <w:sz w:val="23"/>
        </w:rPr>
        <w:t>Handoff Deliverables (if consolidation is active at program close)</w:t>
      </w:r>
    </w:p>
    <w:p>
      <w:r>
        <w:t>If consolidation work continues beyond program close, the successor project receives:</w:t>
      </w:r>
    </w:p>
    <w:p>
      <w:pPr>
        <w:pStyle w:val="ListBullet"/>
      </w:pPr>
      <w:r>
        <w:t>Regulatory approval letter(s), with a summary of conditions and timelines</w:t>
      </w:r>
    </w:p>
    <w:p>
      <w:pPr>
        <w:pStyle w:val="ListBullet"/>
      </w:pPr>
      <w:r>
        <w:t>Executed consolidation agreement (merger or assumption reinsurance)</w:t>
      </w:r>
    </w:p>
    <w:p>
      <w:pPr>
        <w:pStyle w:val="ListBullet"/>
      </w:pPr>
      <w:r>
        <w:t>Member communications template (approved by regulators, ready to distribute)</w:t>
      </w:r>
    </w:p>
    <w:p>
      <w:pPr>
        <w:pStyle w:val="ListBullet"/>
      </w:pPr>
      <w:r>
        <w:t>Statutory accounting guidance (how to record the consolidation in the NAIC statutory statements)</w:t>
      </w:r>
    </w:p>
    <w:p>
      <w:pPr>
        <w:pStyle w:val="ListBullet"/>
      </w:pPr>
      <w:r>
        <w:t>Data dictionary for any system changes required to support unified licensing (if applicable)</w:t>
      </w:r>
    </w:p>
    <w:p>
      <w:pPr>
        <w:pStyle w:val="ListBullet"/>
      </w:pPr>
      <w:r>
        <w:t>Broker communication plan and timeline</w:t>
      </w:r>
    </w:p>
    <w:p>
      <w:pPr>
        <w:pStyle w:val="ListBullet"/>
      </w:pPr>
      <w:r>
        <w:t>Regulatory contact list for each state where Cumberland Valley was admitted</w:t>
      </w:r>
    </w:p>
    <w:p>
      <w:pPr>
        <w:pStyle w:val="ListBullet"/>
      </w:pPr>
      <w:r>
        <w:t>A summary of capital adequacy status and any capital contribution required at consolidation effective date</w:t>
      </w:r>
    </w:p>
    <w:p>
      <w:r>
        <w:t>The program certifies that operational integration is complete and that consolidation can proceed without affecting members or operations.</w:t>
      </w:r>
    </w:p>
    <w:p>
      <w:r>
        <w:t>Related artifacts: Charter (1) · Deal Summary (2) · Risk Register (28) · Integration Management Plan (9) · Vendor Disposition (21) · WBS &amp; Console (10) · How to Read This Suite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