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PLAN · ARTIFACT 38 ·</w:t>
      </w:r>
    </w:p>
    <w:p>
      <w:r>
        <w:rPr>
          <w:b/>
          <w:color w:val="12304A"/>
          <w:sz w:val="44"/>
        </w:rPr>
        <w:t>Member Communications &amp; ID Card Plan</w:t>
      </w:r>
    </w:p>
    <w:p>
      <w:r>
        <w:rPr>
          <w:i/>
          <w:color w:val="6B7280"/>
          <w:sz w:val="17"/>
        </w:rPr>
        <w:t>Illustrative program data — created to demonstrate M&amp;A integration program management practice. ACME Health, Cumberland Valley Health Plan, Cheatham Mutual Holdings and Rutherford Cloud Operations are fictional entities; no real transaction, rate, or member data is represented.</w:t>
      </w:r>
    </w:p>
    <w:p/>
    <w:p>
      <w:r>
        <w:t>Issued October 16, 2023 — two weeks after Day 1. Every one of Cumberland Valley's members needs to be told what has changed, and roughly 420,000 of them need a new identification card in hand before the plan-year boundary. This plan covers what is said, to whom, through which channel, and in what order — and the ordering is the part that most often goes wrong.</w:t>
      </w:r>
    </w:p>
    <w:p>
      <w:pPr>
        <w:spacing w:before="320"/>
      </w:pPr>
      <w:r>
        <w:rPr>
          <w:b/>
          <w:color w:val="12304A"/>
          <w:sz w:val="28"/>
        </w:rPr>
        <w:t>1. The message, and what it must not imply</w:t>
      </w:r>
    </w:p>
    <w:p>
      <w:r>
        <w:t>The substantive fact is narrow: Cumberland Valley Health Plan has been acquired by ACME Health, the member's coverage continues unchanged, their benefits are unchanged, their network is unchanged for the remainder of the plan year, and a new identification card will follow. Everything else in the campaign exists to keep that message from being misread.</w:t>
      </w:r>
    </w:p>
    <w:p>
      <w:r>
        <w:t>The misreading to prevent is that this is a benefit change. Members receiving an unexpected letter from a health plan reasonably assume something has been taken away, and a letter that leads with corporate facts and mentions coverage continuity in the fourth paragraph produces exactly that reaction. Continuity leads; the transaction is context.</w:t>
      </w:r>
    </w:p>
    <w:p>
      <w:pPr>
        <w:spacing w:before="120"/>
        <w:ind w:left="360"/>
      </w:pPr>
      <w:r>
        <w:rPr>
          <w:i/>
          <w:color w:val="12304A"/>
          <w:sz w:val="20"/>
        </w:rPr>
        <w:t>The communication is constrained by what is actually true at the time it is sent, and that is narrower than the program's plans. Network rationalization is under way and some provider arrangements will change; the member communication may not hint at it, because no termination has been decided and telling members their doctor might leave the network — when the program does not yet know which doctors those are — would cause avoidable alarm and generate call volume about a question nobody can yet answer. Provider changes are communicated separately, per provider, on the notice timeline that each contract and the applicable regulations require. A single campaign that tries to pre-announce every future change trades a small amount of later effort for a large amount of present confusion.</w:t>
      </w:r>
    </w:p>
    <w:p>
      <w:pPr>
        <w:spacing w:before="320"/>
      </w:pPr>
      <w:r>
        <w:rPr>
          <w:b/>
          <w:color w:val="12304A"/>
          <w:sz w:val="28"/>
        </w:rPr>
        <w:t>2. Audience segmentation</w:t>
      </w:r>
    </w:p>
    <w:p>
      <w:r>
        <w:t>Members are not one audience, and a single letter to all of them would be wrong for most. Segmentation drives both content and timing.</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Segment</w:t>
            </w:r>
          </w:p>
        </w:tc>
        <w:tc>
          <w:tcPr>
            <w:tcW w:type="dxa" w:w="3216"/>
          </w:tcPr>
          <w:p>
            <w:r>
              <w:rPr>
                <w:b/>
                <w:sz w:val="17"/>
              </w:rPr>
              <w:t>What differs</w:t>
            </w:r>
          </w:p>
        </w:tc>
        <w:tc>
          <w:tcPr>
            <w:tcW w:type="dxa" w:w="3216"/>
          </w:tcPr>
          <w:p>
            <w:r>
              <w:rPr>
                <w:b/>
                <w:sz w:val="17"/>
              </w:rPr>
              <w:t>Handling</w:t>
            </w:r>
          </w:p>
        </w:tc>
      </w:tr>
      <w:tr>
        <w:tc>
          <w:tcPr>
            <w:tcW w:type="dxa" w:w="3216"/>
          </w:tcPr>
          <w:p>
            <w:r>
              <w:rPr>
                <w:sz w:val="17"/>
              </w:rPr>
              <w:t>Group members through an employer</w:t>
            </w:r>
          </w:p>
        </w:tc>
        <w:tc>
          <w:tcPr>
            <w:tcW w:type="dxa" w:w="3216"/>
          </w:tcPr>
          <w:p>
            <w:r>
              <w:rPr>
                <w:sz w:val="17"/>
              </w:rPr>
              <w:t>The employer is also a stakeholder and will be asked questions first</w:t>
            </w:r>
          </w:p>
        </w:tc>
        <w:tc>
          <w:tcPr>
            <w:tcW w:type="dxa" w:w="3216"/>
          </w:tcPr>
          <w:p>
            <w:r>
              <w:rPr>
                <w:sz w:val="17"/>
              </w:rPr>
              <w:t>Employer and broker briefed ahead of the member mailing, never after</w:t>
            </w:r>
          </w:p>
        </w:tc>
      </w:tr>
      <w:tr>
        <w:tc>
          <w:tcPr>
            <w:tcW w:type="dxa" w:w="3216"/>
          </w:tcPr>
          <w:p>
            <w:r>
              <w:rPr>
                <w:sz w:val="17"/>
              </w:rPr>
              <w:t>Individual and family coverage</w:t>
            </w:r>
          </w:p>
        </w:tc>
        <w:tc>
          <w:tcPr>
            <w:tcW w:type="dxa" w:w="3216"/>
          </w:tcPr>
          <w:p>
            <w:r>
              <w:rPr>
                <w:sz w:val="17"/>
              </w:rPr>
              <w:t>No intermediary; the letter is the only contact</w:t>
            </w:r>
          </w:p>
        </w:tc>
        <w:tc>
          <w:tcPr>
            <w:tcW w:type="dxa" w:w="3216"/>
          </w:tcPr>
          <w:p>
            <w:r>
              <w:rPr>
                <w:sz w:val="17"/>
              </w:rPr>
              <w:t>Plainest language; strongest continuity framing</w:t>
            </w:r>
          </w:p>
        </w:tc>
      </w:tr>
      <w:tr>
        <w:tc>
          <w:tcPr>
            <w:tcW w:type="dxa" w:w="3216"/>
          </w:tcPr>
          <w:p>
            <w:r>
              <w:rPr>
                <w:sz w:val="17"/>
              </w:rPr>
              <w:t>Medicare Advantage members</w:t>
            </w:r>
          </w:p>
        </w:tc>
        <w:tc>
          <w:tcPr>
            <w:tcW w:type="dxa" w:w="3216"/>
          </w:tcPr>
          <w:p>
            <w:r>
              <w:rPr>
                <w:sz w:val="17"/>
              </w:rPr>
              <w:t>Member materials are subject to federal marketing and communication rules</w:t>
            </w:r>
          </w:p>
        </w:tc>
        <w:tc>
          <w:tcPr>
            <w:tcW w:type="dxa" w:w="3216"/>
          </w:tcPr>
          <w:p>
            <w:r>
              <w:rPr>
                <w:sz w:val="17"/>
              </w:rPr>
              <w:t>Filed and cleared before release; no combined mailing with commercial segments</w:t>
            </w:r>
          </w:p>
        </w:tc>
      </w:tr>
      <w:tr>
        <w:tc>
          <w:tcPr>
            <w:tcW w:type="dxa" w:w="3216"/>
          </w:tcPr>
          <w:p>
            <w:r>
              <w:rPr>
                <w:sz w:val="17"/>
              </w:rPr>
              <w:t>Members in an active course of treatment</w:t>
            </w:r>
          </w:p>
        </w:tc>
        <w:tc>
          <w:tcPr>
            <w:tcW w:type="dxa" w:w="3216"/>
          </w:tcPr>
          <w:p>
            <w:r>
              <w:rPr>
                <w:sz w:val="17"/>
              </w:rPr>
              <w:t>Highest anxiety, lowest tolerance for ambiguity</w:t>
            </w:r>
          </w:p>
        </w:tc>
        <w:tc>
          <w:tcPr>
            <w:tcW w:type="dxa" w:w="3216"/>
          </w:tcPr>
          <w:p>
            <w:r>
              <w:rPr>
                <w:sz w:val="17"/>
              </w:rPr>
              <w:t>Continuity-of-care language stated explicitly, not by implication</w:t>
            </w:r>
          </w:p>
        </w:tc>
      </w:tr>
      <w:tr>
        <w:tc>
          <w:tcPr>
            <w:tcW w:type="dxa" w:w="3216"/>
          </w:tcPr>
          <w:p>
            <w:r>
              <w:rPr>
                <w:sz w:val="17"/>
              </w:rPr>
              <w:t>Members with a recent address change</w:t>
            </w:r>
          </w:p>
        </w:tc>
        <w:tc>
          <w:tcPr>
            <w:tcW w:type="dxa" w:w="3216"/>
          </w:tcPr>
          <w:p>
            <w:r>
              <w:rPr>
                <w:sz w:val="17"/>
              </w:rPr>
              <w:t>Elevated risk the mailing does not arrive</w:t>
            </w:r>
          </w:p>
        </w:tc>
        <w:tc>
          <w:tcPr>
            <w:tcW w:type="dxa" w:w="3216"/>
          </w:tcPr>
          <w:p>
            <w:r>
              <w:rPr>
                <w:sz w:val="17"/>
              </w:rPr>
              <w:t>Address verified before the card run; see section 5</w:t>
            </w:r>
          </w:p>
        </w:tc>
      </w:tr>
    </w:tbl>
    <w:p/>
    <w:p>
      <w:pPr>
        <w:spacing w:before="120"/>
        <w:ind w:left="360"/>
      </w:pPr>
      <w:r>
        <w:rPr>
          <w:i/>
          <w:color w:val="12304A"/>
          <w:sz w:val="20"/>
        </w:rPr>
        <w:t>Employers and brokers are briefed before members, and the reason is operational rather than courteous. A member who receives an unexpected letter about their health coverage calls their HR department before they call the health plan — HR is closer, more trusted, and answers the phone. If HR has not been briefed, the answer that member receives is a guess, and that guess becomes the version circulating in the workplace. Briefing employers first does not reduce member calls; it changes the accuracy of what members hear from the person they actually ask.</w:t>
      </w:r>
    </w:p>
    <w:p>
      <w:pPr>
        <w:spacing w:before="320"/>
      </w:pPr>
      <w:r>
        <w:rPr>
          <w:b/>
          <w:color w:val="12304A"/>
          <w:sz w:val="28"/>
        </w:rPr>
        <w:t>3. Channel constraints</w:t>
      </w:r>
    </w:p>
    <w:p>
      <w:r>
        <w:t>Mail is the primary channel because it is the only one available for the whole population. Electronic delivery reaches only members who have supplied an address and consented to receive plan communications that way, which is a minority of the Cumberland Valley book and skews toward the individual segment. Any plan that assumes email reach is planning against a population it does not have.</w:t>
      </w:r>
    </w:p>
    <w:p>
      <w:r>
        <w:t>Three further constraints apply. Material describing coverage is subject to state readability and disclosure requirements and is reviewed before release. Communications to Medicare Advantage members follow their own federal rules and clearance path. And the member portal cannot carry the primary announcement, because a member who does not log in never sees it — the portal reinforces a message delivered elsewhere rather than delivering it.</w:t>
      </w:r>
    </w:p>
    <w:p>
      <w:pPr>
        <w:spacing w:before="320"/>
      </w:pPr>
      <w:r>
        <w:rPr>
          <w:b/>
          <w:color w:val="12304A"/>
          <w:sz w:val="28"/>
        </w:rPr>
        <w:t>4. The sequencing rule: cards lag eligibility</w:t>
      </w:r>
    </w:p>
    <w:p>
      <w:r>
        <w:t>New cards carry the enterprise member identifier assigned during consolidation. That identifier is only useful if the systems a provider queries already recognize it.</w:t>
      </w:r>
    </w:p>
    <w:p>
      <w:r>
        <w:t>The instinct is to mail early, on the reasoning that a card arriving ahead of time is safer than one arriving late. For identification cards that instinct is backwards and produces the failure it is trying to avoid.</w:t>
      </w:r>
    </w:p>
    <w:p>
      <w:pPr>
        <w:spacing w:before="120"/>
        <w:ind w:left="360"/>
      </w:pPr>
      <w:r>
        <w:rPr>
          <w:i/>
          <w:color w:val="12304A"/>
          <w:sz w:val="20"/>
        </w:rPr>
        <w:t>A card that arrives before the eligibility systems carry its identifier is worse than no card at all. The member presents it at the point of care. The provider queries eligibility with the number printed on it. The query returns nothing, because the identifier has not yet propagated to the provider-facing eligibility service. The member is asked to pay, or to reschedule, or is told their coverage has lapsed — on the strength of a card the health plan mailed them. The rule is therefore that card production is authorized only after the enterprise identifier is live and verifiable on the eligibility inquiry interface, and confirmed by test queries against real identifiers rather than by a status report saying the interface is complete. Cards mail after that confirmation, with old cards explicitly remaining valid until the plan-year boundary so that no member is left without a working credential in the interval.</w:t>
      </w:r>
    </w:p>
    <w:p>
      <w:r>
        <w:t>The corollary is that the mailing date is not the program's to choose freely. It is set by whichever comes later: the lead time needed to reach members before the plan-year boundary, or the date the eligibility interface is confirmed. If the interface confirmation slips, the mailing slips with it and the old cards carry the gap.</w:t>
      </w:r>
    </w:p>
    <w:p>
      <w:pPr>
        <w:spacing w:before="120"/>
        <w:ind w:left="360"/>
      </w:pPr>
      <w:r>
        <w:rPr>
          <w:i/>
          <w:color w:val="12304A"/>
          <w:sz w:val="20"/>
        </w:rPr>
        <w:t>Why "old cards remain valid" is a design decision and not a fallback. Stating it explicitly in the member letter removes the incentive to discard the old card on receipt of the new one. A member who destroys the old card the day the new one arrives has no working credential if anything about the new identifier is not yet functioning. The line costs one sentence in the letter and removes the entire class of failure in which the program's own communication strands the member.</w:t>
      </w:r>
    </w:p>
    <w:p>
      <w:pPr>
        <w:spacing w:before="320"/>
      </w:pPr>
      <w:r>
        <w:rPr>
          <w:b/>
          <w:color w:val="12304A"/>
          <w:sz w:val="28"/>
        </w:rPr>
        <w:t>5. Address quality and undeliverable mail</w:t>
      </w:r>
    </w:p>
    <w:p>
      <w:r>
        <w:t>Cards go to the addresses held in the member file, and a proportion of those addresses are wrong. In a book this size the undeliverable rate on a mass mailing is routinely in the low single digits even for a stable population, and this population has just been through a system migration.</w:t>
      </w:r>
    </w:p>
    <w:p>
      <w:r>
        <w:t>Address standardization and change-of-address processing are run against the file before the card run rather than after, which corrects the mechanical errors — malformed records, missing directional indicators, superseded ZIP assignments — and identifies members who have filed a forwarding order. What it cannot do is find a member who moved without telling anyone.</w:t>
      </w:r>
    </w:p>
    <w:p>
      <w:r>
        <w:t>A second mailing wave is planned for returned mail, paired with outbound calling and portal messaging for members where a telephone number is held. Members whose cards cannot be delivered by any channel are worked as a named list rather than absorbed into an aggregate, because the count is small enough to work individually and each one is a member who will discover the problem at a pharmacy counter.</w:t>
      </w:r>
    </w:p>
    <w:p>
      <w:pPr>
        <w:spacing w:before="320"/>
      </w:pPr>
      <w:r>
        <w:rPr>
          <w:b/>
          <w:color w:val="12304A"/>
          <w:sz w:val="28"/>
        </w:rPr>
        <w:t>6. Identity resolution and the duplicate-card exposure</w:t>
      </w:r>
    </w:p>
    <w:p>
      <w:r>
        <w:t>Card production draws on the consolidated member records. Where consolidation has not resolved a member's records into one, card production inherits that state.</w:t>
      </w:r>
    </w:p>
    <w:p>
      <w:r>
        <w:t>The identity plan expects roughly 65% of records to resolve on deterministic matching and a further 27% automatically on probabilistic scoring, leaving a review band of about 8% to be worked by data stewards over time. A member sitting in that review band may still exist as two records at the point the card file is generated, which produces two cards with two different identifiers to one household.</w:t>
      </w:r>
    </w:p>
    <w:p>
      <w:pPr>
        <w:spacing w:before="120"/>
        <w:ind w:left="360"/>
      </w:pPr>
      <w:r>
        <w:rPr>
          <w:i/>
          <w:color w:val="12304A"/>
          <w:sz w:val="20"/>
        </w:rPr>
        <w:t>The review band is a card problem before it is a data problem, and it arrives sooner than the queue clears. Stewards work the band over months; the card run happens once, on a date set by the plan-year boundary. The two timelines do not align and cannot be made to. The mitigation is to suppress card production for any member whose records remain unresolved at the point the file is cut, hold those members on the existing card, and issue individually as each is resolved. Suppressing a card is recoverable; issuing two identifiers to one person is not cleanly recoverable — claims begin accruing under both, and the merge that follows has to reconcile a history the program itself created. The suppression list is reported weekly to Member Services so that a member who calls is recognized rather than researched.</w:t>
      </w:r>
    </w:p>
    <w:p>
      <w:pPr>
        <w:spacing w:before="320"/>
      </w:pPr>
      <w:r>
        <w:rPr>
          <w:b/>
          <w:color w:val="12304A"/>
          <w:sz w:val="28"/>
        </w:rPr>
        <w:t>7. Call center surge planning</w:t>
      </w:r>
    </w:p>
    <w:p>
      <w:r>
        <w:t>Every mailing generates calls, and the volume is predictable enough to staff against. Planning assumes a response rate in the mid single digits within the first ten days of a mass mailing, concentrated on the two business days after delivery, with a second smaller peak when cards arrive.</w:t>
      </w:r>
    </w:p>
    <w:p>
      <w:r>
        <w:t>Three measures apply. Mailings are released in waves by region rather than in one drop, so the call volume arrives as a series of manageable peaks rather than one that exceeds capacity on a single day. Representatives are briefed with the actual member letter in front of them, since a representative who has not seen what the member is reading cannot resolve the call. And a short list of answers is agreed in advance for the questions with no good answer yet — principally whether a member's own physician will remain in network — so that every representative gives the same answer rather than improvising a reassurance the program cannot honor.</w:t>
      </w:r>
    </w:p>
    <w:p>
      <w:pPr>
        <w:spacing w:before="120"/>
        <w:ind w:left="360"/>
      </w:pPr>
      <w:r>
        <w:rPr>
          <w:i/>
          <w:color w:val="12304A"/>
          <w:sz w:val="20"/>
        </w:rPr>
        <w:t>The scripted answer to an unanswerable question is worth more than it looks. "That has not been decided, no change is in effect today, and you will receive written notice before anything changes for you" is accurate, and it is the same in every call. The alternative is not silence — it is thirty representatives each constructing their own reassurance under time pressure, several of which will be commitments the program cannot keep and one of which will end up in front of a regulator.</w:t>
      </w:r>
    </w:p>
    <w:p>
      <w:pPr>
        <w:spacing w:before="320"/>
      </w:pPr>
      <w:r>
        <w:rPr>
          <w:b/>
          <w:color w:val="12304A"/>
          <w:sz w:val="28"/>
        </w:rPr>
        <w:t>8. Ownership and measures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Item</w:t>
            </w:r>
          </w:p>
        </w:tc>
        <w:tc>
          <w:tcPr>
            <w:tcW w:type="dxa" w:w="4824"/>
          </w:tcPr>
          <w:p>
            <w:r>
              <w:rPr>
                <w:b/>
                <w:sz w:val="17"/>
              </w:rPr>
              <w:t>Owner</w:t>
            </w:r>
          </w:p>
        </w:tc>
      </w:tr>
      <w:tr>
        <w:tc>
          <w:tcPr>
            <w:tcW w:type="dxa" w:w="4824"/>
          </w:tcPr>
          <w:p>
            <w:r>
              <w:rPr>
                <w:sz w:val="17"/>
              </w:rPr>
              <w:t>Campaign content, message hierarchy and clearance</w:t>
            </w:r>
          </w:p>
        </w:tc>
        <w:tc>
          <w:tcPr>
            <w:tcW w:type="dxa" w:w="4824"/>
          </w:tcPr>
          <w:p>
            <w:r>
              <w:rPr>
                <w:sz w:val="17"/>
              </w:rPr>
              <w:t>B. Lundquist, VP Corporate Communications</w:t>
            </w:r>
          </w:p>
        </w:tc>
      </w:tr>
      <w:tr>
        <w:tc>
          <w:tcPr>
            <w:tcW w:type="dxa" w:w="4824"/>
          </w:tcPr>
          <w:p>
            <w:r>
              <w:rPr>
                <w:sz w:val="17"/>
              </w:rPr>
              <w:t>Cumberland Valley member voice and prior communication history</w:t>
            </w:r>
          </w:p>
        </w:tc>
        <w:tc>
          <w:tcPr>
            <w:tcW w:type="dxa" w:w="4824"/>
          </w:tcPr>
          <w:p>
            <w:r>
              <w:rPr>
                <w:sz w:val="17"/>
              </w:rPr>
              <w:t>R. Tomlinson, Director, Communications</w:t>
            </w:r>
          </w:p>
        </w:tc>
      </w:tr>
      <w:tr>
        <w:tc>
          <w:tcPr>
            <w:tcW w:type="dxa" w:w="4824"/>
          </w:tcPr>
          <w:p>
            <w:r>
              <w:rPr>
                <w:sz w:val="17"/>
              </w:rPr>
              <w:t>Member experience through the transition; representative briefing</w:t>
            </w:r>
          </w:p>
        </w:tc>
        <w:tc>
          <w:tcPr>
            <w:tcW w:type="dxa" w:w="4824"/>
          </w:tcPr>
          <w:p>
            <w:r>
              <w:rPr>
                <w:sz w:val="17"/>
              </w:rPr>
              <w:t>T. Ruffalo, VP Member Experience</w:t>
            </w:r>
          </w:p>
        </w:tc>
      </w:tr>
      <w:tr>
        <w:tc>
          <w:tcPr>
            <w:tcW w:type="dxa" w:w="4824"/>
          </w:tcPr>
          <w:p>
            <w:r>
              <w:rPr>
                <w:sz w:val="17"/>
              </w:rPr>
              <w:t>Call center capacity, wave scheduling and daily volume reporting</w:t>
            </w:r>
          </w:p>
        </w:tc>
        <w:tc>
          <w:tcPr>
            <w:tcW w:type="dxa" w:w="4824"/>
          </w:tcPr>
          <w:p>
            <w:r>
              <w:rPr>
                <w:sz w:val="17"/>
              </w:rPr>
              <w:t>C. Hollifield, Director, Member Services</w:t>
            </w:r>
          </w:p>
        </w:tc>
      </w:tr>
      <w:tr>
        <w:tc>
          <w:tcPr>
            <w:tcW w:type="dxa" w:w="4824"/>
          </w:tcPr>
          <w:p>
            <w:r>
              <w:rPr>
                <w:sz w:val="17"/>
              </w:rPr>
              <w:t>Card file generation, suppression list, address standardization</w:t>
            </w:r>
          </w:p>
        </w:tc>
        <w:tc>
          <w:tcPr>
            <w:tcW w:type="dxa" w:w="4824"/>
          </w:tcPr>
          <w:p>
            <w:r>
              <w:rPr>
                <w:sz w:val="17"/>
              </w:rPr>
              <w:t>C. Bhattacharya, Manager, Member Data</w:t>
            </w:r>
          </w:p>
        </w:tc>
      </w:tr>
      <w:tr>
        <w:tc>
          <w:tcPr>
            <w:tcW w:type="dxa" w:w="4824"/>
          </w:tcPr>
          <w:p>
            <w:r>
              <w:rPr>
                <w:sz w:val="17"/>
              </w:rPr>
              <w:t>Eligibility interface confirmation gating the card run</w:t>
            </w:r>
          </w:p>
        </w:tc>
        <w:tc>
          <w:tcPr>
            <w:tcW w:type="dxa" w:w="4824"/>
          </w:tcPr>
          <w:p>
            <w:r>
              <w:rPr>
                <w:sz w:val="17"/>
              </w:rPr>
              <w:t>K. Stallworth, Director, Enterprise Integration</w:t>
            </w:r>
          </w:p>
        </w:tc>
      </w:tr>
      <w:tr>
        <w:tc>
          <w:tcPr>
            <w:tcW w:type="dxa" w:w="4824"/>
          </w:tcPr>
          <w:p>
            <w:r>
              <w:rPr>
                <w:sz w:val="17"/>
              </w:rPr>
              <w:t>Campaign sequencing against the wider change plan</w:t>
            </w:r>
          </w:p>
        </w:tc>
        <w:tc>
          <w:tcPr>
            <w:tcW w:type="dxa" w:w="4824"/>
          </w:tcPr>
          <w:p>
            <w:r>
              <w:rPr>
                <w:sz w:val="17"/>
              </w:rPr>
              <w:t>A. Winterbourne, Change &amp; Communications Lead</w:t>
            </w:r>
          </w:p>
        </w:tc>
      </w:tr>
    </w:tbl>
    <w:p/>
    <w:p>
      <w:r>
        <w:t>Four measures are reported: undeliverable rate against the mailed volume, call volume against forecast by wave, first-contact resolution on transition calls, and the count of members held on the suppression list with its trend. The suppression count is the one that matters most, because it is the only measure that connects the communication campaign to the state of the underlying data.</w:t>
      </w:r>
    </w:p>
    <w:p>
      <w:r>
        <w:t>Related artifacts: 17 — Communications Plan · 18 — Change &amp; Culture Plan · 23 — Data Migration &amp; EMPI Strategy · 25 — Integration Architecture</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