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B3A6B"/>
          <w:sz w:val="40"/>
        </w:rPr>
        <w:t>Organization Chart</w:t>
      </w:r>
    </w:p>
    <w:p>
      <w:pPr>
        <w:spacing w:after="160"/>
      </w:pPr>
      <w:r>
        <w:rPr>
          <w:i/>
          <w:color w:val="5B6472"/>
          <w:sz w:val="18"/>
        </w:rPr>
        <w:t>Organization · Artifact 31 · how to read this suite</w:t>
      </w:r>
    </w:p>
    <w:p>
      <w:pPr>
        <w:spacing w:after="160"/>
      </w:pPr>
      <w:r>
        <w:rPr>
          <w:i w:val="0"/>
          <w:sz w:val="20"/>
        </w:rPr>
        <w:t>The integration program organization as at March 11, 2024 — 84 people across two companies and five outside firms, in 17 delivery workstreams. Page 1 is the executive view — sponsor, program manager, governance bodies and the 17 workstream leads. Pages 2 to 4 draw each group of teams in full, because a single diagram at this scale can only show leaders and the teams underneath them are the part worth seeing. Contract vehicle per person is in the Resource Plan.</w:t>
      </w:r>
    </w:p>
    <w:p>
      <w:pPr>
        <w:spacing w:after="160"/>
      </w:pPr>
      <w:r>
        <w:rPr>
          <w:i/>
          <w:color w:val="5B6472"/>
          <w:sz w:val="20"/>
        </w:rPr>
        <w:t>These charts show accountability, not employment, and on this program the two barely overlap. The Program Manager is a consultant: he leads the Integration Management Office and employs nobody in it. Workstream leads report to their own executives. Roughly half the boxes belong to people whose review, salary and continued employment are decided by someone who appears nowhere on these pages. His authority is written into an engagement contract rather than an organization chart — the normal condition for an integration program, and the reason the governance model matters more here than the reporting lines do.</w:t>
      </w:r>
    </w:p>
    <w:p>
      <w:pPr>
        <w:spacing w:before="360" w:after="120"/>
      </w:pPr>
      <w:r>
        <w:rPr>
          <w:b/>
          <w:color w:val="1B3A6B"/>
          <w:sz w:val="28"/>
        </w:rPr>
        <w:t>Page 1 — Executive Leadership and Governance</w:t>
      </w:r>
    </w:p>
    <w:p>
      <w:pPr>
        <w:spacing w:before="320" w:after="120"/>
      </w:pPr>
      <w:r>
        <w:rPr>
          <w:b/>
          <w:color w:val="2B5C8A"/>
          <w:sz w:val="22"/>
        </w:rPr>
        <w:t>Diagram 1</w:t>
      </w:r>
    </w:p>
    <w:tbl>
      <w:tblPr>
        <w:tblStyle w:val="TableGrid"/>
        <w:tblW w:type="auto" w:w="0"/>
        <w:jc w:val="center"/>
        <w:tblLook w:firstColumn="1" w:firstRow="1" w:lastColumn="0" w:lastRow="0" w:noHBand="0" w:noVBand="1" w:val="04A0"/>
      </w:tblPr>
      <w:tblGrid>
        <w:gridCol w:w="1419"/>
        <w:gridCol w:w="1419"/>
        <w:gridCol w:w="1419"/>
        <w:gridCol w:w="1419"/>
        <w:gridCol w:w="1419"/>
        <w:gridCol w:w="1419"/>
        <w:gridCol w:w="1419"/>
      </w:tblGrid>
      <w:tr>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color w:val="5B6472"/>
                <w:sz w:val="17"/>
              </w:rPr>
              <w:t>OUTSIDE THE PROGRAM</w:t>
            </w:r>
          </w:p>
        </w:tc>
        <w:tc>
          <w:tcPr>
            <w:tcW w:type="dxa" w:w="1419"/>
          </w:tcPr>
          <w:p>
            <w:r>
              <w:rPr>
                <w:sz w:val="17"/>
              </w:rPr>
            </w:r>
          </w:p>
        </w:tc>
      </w:tr>
      <w:tr>
        <w:tc>
          <w:tcPr>
            <w:tcW w:type="dxa" w:w="1419"/>
          </w:tcPr>
          <w:p>
            <w:r>
              <w:rPr>
                <w:sz w:val="17"/>
              </w:rPr>
            </w:r>
          </w:p>
        </w:tc>
        <w:tc>
          <w:tcPr>
            <w:tcW w:type="dxa" w:w="1419"/>
          </w:tcPr>
          <w:p>
            <w:r>
              <w:rPr>
                <w:sz w:val="17"/>
              </w:rPr>
            </w:r>
          </w:p>
        </w:tc>
        <w:tc>
          <w:tcPr>
            <w:tcW w:type="dxa" w:w="1419"/>
          </w:tcPr>
          <w:p>
            <w:r>
              <w:rPr>
                <w:color w:val="5B6472"/>
                <w:sz w:val="17"/>
              </w:rPr>
              <w:t>ACME Board of Directors</w:t>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r>
      <w:tr>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color w:val="5B6472"/>
                <w:sz w:val="17"/>
              </w:rPr>
              <w:t>Clean Team</w:t>
            </w:r>
          </w:p>
        </w:tc>
      </w:tr>
      <w:tr>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t>4 people · both General Counsel · pre-close</w:t>
            </w:r>
          </w:p>
        </w:tc>
      </w:tr>
      <w:tr>
        <w:tc>
          <w:tcPr>
            <w:tcW w:type="dxa" w:w="1419"/>
          </w:tcPr>
          <w:p>
            <w:r>
              <w:rPr>
                <w:sz w:val="17"/>
              </w:rPr>
            </w:r>
          </w:p>
        </w:tc>
        <w:tc>
          <w:tcPr>
            <w:tcW w:type="dxa" w:w="1419"/>
          </w:tcPr>
          <w:p>
            <w:r>
              <w:rPr>
                <w:sz w:val="17"/>
              </w:rPr>
            </w:r>
          </w:p>
        </w:tc>
        <w:tc>
          <w:tcPr>
            <w:tcW w:type="dxa" w:w="1419"/>
          </w:tcPr>
          <w:p>
            <w:r>
              <w:rPr>
                <w:color w:val="5B6472"/>
                <w:sz w:val="17"/>
              </w:rPr>
              <w:t>Integration Steering Committee</w:t>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r>
      <w:tr>
        <w:tc>
          <w:tcPr>
            <w:tcW w:type="dxa" w:w="1419"/>
          </w:tcPr>
          <w:p>
            <w:r>
              <w:rPr>
                <w:sz w:val="17"/>
              </w:rPr>
            </w:r>
          </w:p>
        </w:tc>
        <w:tc>
          <w:tcPr>
            <w:tcW w:type="dxa" w:w="1419"/>
          </w:tcPr>
          <w:p>
            <w:r>
              <w:rPr>
                <w:sz w:val="17"/>
              </w:rPr>
            </w:r>
          </w:p>
        </w:tc>
        <w:tc>
          <w:tcPr>
            <w:tcW w:type="dxa" w:w="1419"/>
          </w:tcPr>
          <w:p>
            <w:r>
              <w:rPr>
                <w:sz w:val="17"/>
              </w:rPr>
              <w:t>6 executives · gate approvals · escalation</w:t>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r>
      <w:tr>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color w:val="5B6472"/>
                <w:sz w:val="17"/>
              </w:rPr>
              <w:t>Cheatham Mutual Holdings</w:t>
            </w:r>
          </w:p>
        </w:tc>
      </w:tr>
      <w:tr>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color w:val="5B6472"/>
                <w:sz w:val="17"/>
              </w:rPr>
              <w:t>TSA provider · divesting parent</w:t>
            </w:r>
          </w:p>
        </w:tc>
      </w:tr>
      <w:tr>
        <w:tc>
          <w:tcPr>
            <w:tcW w:type="dxa" w:w="1419"/>
          </w:tcPr>
          <w:p>
            <w:r>
              <w:rPr>
                <w:sz w:val="17"/>
              </w:rPr>
            </w:r>
          </w:p>
        </w:tc>
        <w:tc>
          <w:tcPr>
            <w:tcW w:type="dxa" w:w="1419"/>
          </w:tcPr>
          <w:p>
            <w:r>
              <w:rPr>
                <w:sz w:val="17"/>
              </w:rPr>
            </w:r>
          </w:p>
        </w:tc>
        <w:tc>
          <w:tcPr>
            <w:tcW w:type="dxa" w:w="1419"/>
          </w:tcPr>
          <w:p>
            <w:r>
              <w:rPr>
                <w:b/>
                <w:color w:val="1B3A6B"/>
                <w:sz w:val="17"/>
              </w:rPr>
              <w:t>C. Tyrrell</w:t>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r>
      <w:tr>
        <w:tc>
          <w:tcPr>
            <w:tcW w:type="dxa" w:w="1419"/>
          </w:tcPr>
          <w:p>
            <w:r>
              <w:rPr>
                <w:sz w:val="17"/>
              </w:rPr>
            </w:r>
          </w:p>
        </w:tc>
        <w:tc>
          <w:tcPr>
            <w:tcW w:type="dxa" w:w="1419"/>
          </w:tcPr>
          <w:p>
            <w:r>
              <w:rPr>
                <w:sz w:val="17"/>
              </w:rPr>
            </w:r>
          </w:p>
        </w:tc>
        <w:tc>
          <w:tcPr>
            <w:tcW w:type="dxa" w:w="1419"/>
          </w:tcPr>
          <w:p>
            <w:r>
              <w:rPr>
                <w:color w:val="5B6472"/>
                <w:sz w:val="17"/>
              </w:rPr>
              <w:t>Program Manager · consultant · employs nobody</w:t>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r>
      <w:tr>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color w:val="5B6472"/>
                <w:sz w:val="17"/>
              </w:rPr>
              <w:t>Human Resources</w:t>
            </w:r>
          </w:p>
        </w:tc>
      </w:tr>
      <w:tr>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color w:val="5B6472"/>
                <w:sz w:val="17"/>
              </w:rPr>
              <w:t>retention · severance · outside the budget</w:t>
            </w:r>
          </w:p>
        </w:tc>
      </w:tr>
      <w:tr>
        <w:tc>
          <w:tcPr>
            <w:tcW w:type="dxa" w:w="1419"/>
          </w:tcPr>
          <w:p>
            <w:r>
              <w:rPr>
                <w:color w:val="5B6472"/>
                <w:sz w:val="17"/>
              </w:rPr>
              <w:t>Claims &amp; Core</w:t>
            </w:r>
          </w:p>
        </w:tc>
        <w:tc>
          <w:tcPr>
            <w:tcW w:type="dxa" w:w="1419"/>
          </w:tcPr>
          <w:p>
            <w:r>
              <w:rPr>
                <w:color w:val="5B6472"/>
                <w:sz w:val="17"/>
              </w:rPr>
              <w:t>Data &amp; EMPI</w:t>
            </w:r>
          </w:p>
        </w:tc>
        <w:tc>
          <w:tcPr>
            <w:tcW w:type="dxa" w:w="1419"/>
          </w:tcPr>
          <w:p>
            <w:r>
              <w:rPr>
                <w:color w:val="5B6472"/>
                <w:sz w:val="17"/>
              </w:rPr>
              <w:t>Application</w:t>
            </w:r>
          </w:p>
        </w:tc>
        <w:tc>
          <w:tcPr>
            <w:tcW w:type="dxa" w:w="1419"/>
          </w:tcPr>
          <w:p>
            <w:r>
              <w:rPr>
                <w:color w:val="5B6472"/>
                <w:sz w:val="17"/>
              </w:rPr>
              <w:t>Cloud &amp;</w:t>
            </w:r>
          </w:p>
        </w:tc>
        <w:tc>
          <w:tcPr>
            <w:tcW w:type="dxa" w:w="1419"/>
          </w:tcPr>
          <w:p>
            <w:r>
              <w:rPr>
                <w:color w:val="5B6472"/>
                <w:sz w:val="17"/>
              </w:rPr>
              <w:t>Business</w:t>
            </w:r>
          </w:p>
        </w:tc>
        <w:tc>
          <w:tcPr>
            <w:tcW w:type="dxa" w:w="1419"/>
          </w:tcPr>
          <w:p>
            <w:r>
              <w:rPr>
                <w:color w:val="5B6472"/>
                <w:sz w:val="17"/>
              </w:rPr>
              <w:t>Corporate</w:t>
            </w:r>
          </w:p>
        </w:tc>
        <w:tc>
          <w:tcPr>
            <w:tcW w:type="dxa" w:w="1419"/>
          </w:tcPr>
          <w:p>
            <w:r>
              <w:rPr>
                <w:sz w:val="17"/>
              </w:rPr>
            </w:r>
          </w:p>
        </w:tc>
      </w:tr>
      <w:tr>
        <w:tc>
          <w:tcPr>
            <w:tcW w:type="dxa" w:w="1419"/>
          </w:tcPr>
          <w:p>
            <w:r>
              <w:rPr>
                <w:color w:val="5B6472"/>
                <w:sz w:val="17"/>
              </w:rPr>
              <w:t>Administration</w:t>
            </w:r>
          </w:p>
        </w:tc>
        <w:tc>
          <w:tcPr>
            <w:tcW w:type="dxa" w:w="1419"/>
          </w:tcPr>
          <w:p>
            <w:r>
              <w:rPr>
                <w:sz w:val="17"/>
              </w:rPr>
            </w:r>
          </w:p>
        </w:tc>
        <w:tc>
          <w:tcPr>
            <w:tcW w:type="dxa" w:w="1419"/>
          </w:tcPr>
          <w:p>
            <w:r>
              <w:rPr>
                <w:color w:val="5B6472"/>
                <w:sz w:val="17"/>
              </w:rPr>
              <w:t>Integration</w:t>
            </w:r>
          </w:p>
        </w:tc>
        <w:tc>
          <w:tcPr>
            <w:tcW w:type="dxa" w:w="1419"/>
          </w:tcPr>
          <w:p>
            <w:r>
              <w:rPr>
                <w:color w:val="5B6472"/>
                <w:sz w:val="17"/>
              </w:rPr>
              <w:t>Infrastructure</w:t>
            </w:r>
          </w:p>
        </w:tc>
        <w:tc>
          <w:tcPr>
            <w:tcW w:type="dxa" w:w="1419"/>
          </w:tcPr>
          <w:p>
            <w:r>
              <w:rPr>
                <w:color w:val="5B6472"/>
                <w:sz w:val="17"/>
              </w:rPr>
              <w:t>Operations</w:t>
            </w:r>
          </w:p>
        </w:tc>
        <w:tc>
          <w:tcPr>
            <w:tcW w:type="dxa" w:w="1419"/>
          </w:tcPr>
          <w:p>
            <w:r>
              <w:rPr>
                <w:color w:val="5B6472"/>
                <w:sz w:val="17"/>
              </w:rPr>
              <w:t>and Control</w:t>
            </w:r>
          </w:p>
        </w:tc>
        <w:tc>
          <w:tcPr>
            <w:tcW w:type="dxa" w:w="1419"/>
          </w:tcPr>
          <w:p>
            <w:r>
              <w:rPr>
                <w:sz w:val="17"/>
              </w:rPr>
            </w:r>
          </w:p>
        </w:tc>
      </w:tr>
      <w:tr>
        <w:tc>
          <w:tcPr>
            <w:tcW w:type="dxa" w:w="1419"/>
          </w:tcPr>
          <w:p>
            <w:r>
              <w:rPr>
                <w:sz w:val="17"/>
              </w:rPr>
              <w:t>W. Ferriday · 11 people</w:t>
            </w:r>
          </w:p>
        </w:tc>
        <w:tc>
          <w:tcPr>
            <w:tcW w:type="dxa" w:w="1419"/>
          </w:tcPr>
          <w:p>
            <w:r>
              <w:rPr>
                <w:sz w:val="17"/>
              </w:rPr>
              <w:t>Dr. A. Ravindran · 11 people</w:t>
            </w:r>
          </w:p>
        </w:tc>
        <w:tc>
          <w:tcPr>
            <w:tcW w:type="dxa" w:w="1419"/>
          </w:tcPr>
          <w:p>
            <w:r>
              <w:rPr>
                <w:sz w:val="17"/>
              </w:rPr>
              <w:t>K. Stallworth · 11 people</w:t>
            </w:r>
          </w:p>
        </w:tc>
        <w:tc>
          <w:tcPr>
            <w:tcW w:type="dxa" w:w="1419"/>
          </w:tcPr>
          <w:p>
            <w:r>
              <w:rPr>
                <w:sz w:val="17"/>
              </w:rPr>
              <w:t>B. Trammell · 7 people</w:t>
            </w:r>
          </w:p>
        </w:tc>
        <w:tc>
          <w:tcPr>
            <w:tcW w:type="dxa" w:w="1419"/>
          </w:tcPr>
          <w:p>
            <w:r>
              <w:rPr>
                <w:sz w:val="17"/>
              </w:rPr>
              <w:t>4 workstreams · 8 people</w:t>
            </w:r>
          </w:p>
        </w:tc>
        <w:tc>
          <w:tcPr>
            <w:tcW w:type="dxa" w:w="1419"/>
          </w:tcPr>
          <w:p>
            <w:r>
              <w:rPr>
                <w:sz w:val="17"/>
              </w:rPr>
              <w:t>9 workstreams · 21 people</w:t>
            </w:r>
          </w:p>
        </w:tc>
        <w:tc>
          <w:tcPr>
            <w:tcW w:type="dxa" w:w="1419"/>
          </w:tcPr>
          <w:p>
            <w:r>
              <w:rPr>
                <w:sz w:val="17"/>
              </w:rPr>
            </w:r>
          </w:p>
        </w:tc>
      </w:tr>
      <w:tr>
        <w:tc>
          <w:tcPr>
            <w:tcW w:type="dxa" w:w="1419"/>
          </w:tcPr>
          <w:p>
            <w:r>
              <w:rPr>
                <w:b/>
                <w:color w:val="1B3A6B"/>
                <w:sz w:val="17"/>
              </w:rPr>
              <w:t>D. Halloran</w:t>
            </w:r>
          </w:p>
        </w:tc>
        <w:tc>
          <w:tcPr>
            <w:tcW w:type="dxa" w:w="1419"/>
          </w:tcPr>
          <w:p>
            <w:r>
              <w:rPr>
                <w:b/>
                <w:color w:val="1B3A6B"/>
                <w:sz w:val="17"/>
              </w:rPr>
              <w:t>C. Bhattacharya</w:t>
            </w:r>
          </w:p>
        </w:tc>
        <w:tc>
          <w:tcPr>
            <w:tcW w:type="dxa" w:w="1419"/>
          </w:tcPr>
          <w:p>
            <w:r>
              <w:rPr>
                <w:b/>
                <w:color w:val="1B3A6B"/>
                <w:sz w:val="17"/>
              </w:rPr>
              <w:t>J. Amonett</w:t>
            </w:r>
          </w:p>
        </w:tc>
        <w:tc>
          <w:tcPr>
            <w:tcW w:type="dxa" w:w="1419"/>
          </w:tcPr>
          <w:p>
            <w:r>
              <w:rPr>
                <w:b/>
                <w:color w:val="1B3A6B"/>
                <w:sz w:val="17"/>
              </w:rPr>
              <w:t>G. Whitmire</w:t>
            </w:r>
          </w:p>
        </w:tc>
        <w:tc>
          <w:tcPr>
            <w:tcW w:type="dxa" w:w="1419"/>
          </w:tcPr>
          <w:p>
            <w:r>
              <w:rPr>
                <w:color w:val="5B6472"/>
                <w:sz w:val="17"/>
              </w:rPr>
              <w:t>Paired counterparts</w:t>
            </w:r>
          </w:p>
        </w:tc>
        <w:tc>
          <w:tcPr>
            <w:tcW w:type="dxa" w:w="1419"/>
          </w:tcPr>
          <w:p>
            <w:r>
              <w:rPr>
                <w:sz w:val="17"/>
              </w:rPr>
            </w:r>
          </w:p>
        </w:tc>
        <w:tc>
          <w:tcPr>
            <w:tcW w:type="dxa" w:w="1419"/>
          </w:tcPr>
          <w:p>
            <w:r>
              <w:rPr>
                <w:sz w:val="17"/>
              </w:rPr>
            </w:r>
          </w:p>
        </w:tc>
      </w:tr>
      <w:tr>
        <w:tc>
          <w:tcPr>
            <w:tcW w:type="dxa" w:w="1419"/>
          </w:tcPr>
          <w:p>
            <w:r>
              <w:rPr>
                <w:color w:val="5B6472"/>
                <w:sz w:val="17"/>
              </w:rPr>
              <w:t>counterpart</w:t>
            </w:r>
          </w:p>
        </w:tc>
        <w:tc>
          <w:tcPr>
            <w:tcW w:type="dxa" w:w="1419"/>
          </w:tcPr>
          <w:p>
            <w:r>
              <w:rPr>
                <w:color w:val="5B6472"/>
                <w:sz w:val="17"/>
              </w:rPr>
              <w:t>counterpart</w:t>
            </w:r>
          </w:p>
        </w:tc>
        <w:tc>
          <w:tcPr>
            <w:tcW w:type="dxa" w:w="1419"/>
          </w:tcPr>
          <w:p>
            <w:r>
              <w:rPr>
                <w:color w:val="5B6472"/>
                <w:sz w:val="17"/>
              </w:rPr>
              <w:t>counterpart</w:t>
            </w:r>
          </w:p>
        </w:tc>
        <w:tc>
          <w:tcPr>
            <w:tcW w:type="dxa" w:w="1419"/>
          </w:tcPr>
          <w:p>
            <w:r>
              <w:rPr>
                <w:color w:val="5B6472"/>
                <w:sz w:val="17"/>
              </w:rPr>
              <w:t>counterpart</w:t>
            </w:r>
          </w:p>
        </w:tc>
        <w:tc>
          <w:tcPr>
            <w:tcW w:type="dxa" w:w="1419"/>
          </w:tcPr>
          <w:p>
            <w:r>
              <w:rPr>
                <w:color w:val="5B6472"/>
                <w:sz w:val="17"/>
              </w:rPr>
              <w:t>Cumberland Valley</w:t>
            </w:r>
          </w:p>
        </w:tc>
        <w:tc>
          <w:tcPr>
            <w:tcW w:type="dxa" w:w="1419"/>
          </w:tcPr>
          <w:p>
            <w:r>
              <w:rPr>
                <w:sz w:val="17"/>
              </w:rPr>
            </w:r>
          </w:p>
        </w:tc>
        <w:tc>
          <w:tcPr>
            <w:tcW w:type="dxa" w:w="1419"/>
          </w:tcPr>
          <w:p>
            <w:r>
              <w:rPr>
                <w:sz w:val="17"/>
              </w:rPr>
            </w:r>
          </w:p>
        </w:tc>
      </w:tr>
      <w:tr>
        <w:tc>
          <w:tcPr>
            <w:tcW w:type="dxa" w:w="1419"/>
          </w:tcPr>
          <w:p>
            <w:r>
              <w:rPr>
                <w:color w:val="5B6472"/>
                <w:sz w:val="17"/>
              </w:rPr>
              <w:t>Solid lines: accountability into the program.</w:t>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r>
      <w:tr>
        <w:tc>
          <w:tcPr>
            <w:tcW w:type="dxa" w:w="1419"/>
          </w:tcPr>
          <w:p>
            <w:r>
              <w:rPr>
                <w:color w:val="5B6472"/>
                <w:sz w:val="17"/>
              </w:rPr>
              <w:t>Dashed: paired counterpart, jointly accountable for the same deliverables.</w:t>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r>
      <w:tr>
        <w:tc>
          <w:tcPr>
            <w:tcW w:type="dxa" w:w="1419"/>
          </w:tcPr>
          <w:p>
            <w:r>
              <w:rPr>
                <w:color w:val="5B6472"/>
                <w:sz w:val="17"/>
              </w:rPr>
              <w:t>Gold: bodies the program depends on and does not direct.</w:t>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c>
          <w:tcPr>
            <w:tcW w:type="dxa" w:w="1419"/>
          </w:tcPr>
          <w:p>
            <w:r>
              <w:rPr>
                <w:sz w:val="17"/>
              </w:rPr>
            </w:r>
          </w:p>
        </w:tc>
      </w:tr>
    </w:tbl>
    <w:p/>
    <w:p>
      <w:pPr>
        <w:spacing w:after="160"/>
      </w:pPr>
      <w:r>
        <w:rPr>
          <w:i w:val="0"/>
          <w:sz w:val="20"/>
        </w:rPr>
        <w:t>Reporting line, named</w:t>
      </w:r>
    </w:p>
    <w:p>
      <w:pPr>
        <w:spacing w:after="160"/>
      </w:pPr>
      <w:r>
        <w:rPr>
          <w:i w:val="0"/>
          <w:sz w:val="20"/>
        </w:rPr>
        <w:t>ACME Health Board of Directors — Transaction approved Feb 13, 2023</w:t>
      </w:r>
    </w:p>
    <w:p>
      <w:pPr>
        <w:spacing w:after="160"/>
      </w:pPr>
      <w:r>
        <w:rPr>
          <w:i w:val="0"/>
          <w:sz w:val="20"/>
        </w:rPr>
        <w:t>D. Ashmore — EVP &amp; Chief Financial Officer — Executive Sponsor</w:t>
      </w:r>
    </w:p>
    <w:p>
      <w:pPr>
        <w:spacing w:after="160"/>
      </w:pPr>
      <w:r>
        <w:rPr>
          <w:i w:val="0"/>
          <w:sz w:val="20"/>
        </w:rPr>
        <w:t>C. Tyrrell — Program Manager, Integration (engagement lead)</w:t>
      </w:r>
    </w:p>
    <w:p>
      <w:pPr>
        <w:spacing w:after="160"/>
      </w:pPr>
      <w:r>
        <w:rPr>
          <w:i w:val="0"/>
          <w:sz w:val="20"/>
        </w:rPr>
        <w:t>Governance bodies</w:t>
      </w:r>
    </w:p>
    <w:p>
      <w:pPr>
        <w:spacing w:before="280" w:after="120"/>
      </w:pPr>
      <w:r>
        <w:rPr>
          <w:b/>
          <w:color w:val="1B3A6B"/>
          <w:sz w:val="23"/>
        </w:rPr>
        <w:t>Integration Steering Committee 6</w:t>
      </w:r>
    </w:p>
    <w:p>
      <w:pPr>
        <w:spacing w:after="160"/>
      </w:pPr>
      <w:r>
        <w:rPr>
          <w:i w:val="0"/>
          <w:sz w:val="20"/>
        </w:rPr>
        <w:t>D. Ashmore — EVP &amp; Chief Financial Officer, ACME — Executi…</w:t>
      </w:r>
    </w:p>
    <w:p>
      <w:pPr>
        <w:spacing w:after="160"/>
      </w:pPr>
      <w:r>
        <w:rPr>
          <w:i w:val="0"/>
          <w:sz w:val="20"/>
        </w:rPr>
        <w:t>R. Villanueva — Chief Operating Officer, ACME</w:t>
      </w:r>
    </w:p>
    <w:p>
      <w:pPr>
        <w:spacing w:after="160"/>
      </w:pPr>
      <w:r>
        <w:rPr>
          <w:i w:val="0"/>
          <w:sz w:val="20"/>
        </w:rPr>
        <w:t>M. Kessinger — President &amp; CEO, Cumberland Valley</w:t>
      </w:r>
    </w:p>
    <w:p>
      <w:pPr>
        <w:spacing w:after="160"/>
      </w:pPr>
      <w:r>
        <w:rPr>
          <w:i w:val="0"/>
          <w:sz w:val="20"/>
        </w:rPr>
        <w:t>T. Broadnax — SVP Corporate Development, ACME</w:t>
      </w:r>
    </w:p>
    <w:p>
      <w:pPr>
        <w:spacing w:after="160"/>
      </w:pPr>
      <w:r>
        <w:rPr>
          <w:i w:val="0"/>
          <w:sz w:val="20"/>
        </w:rPr>
        <w:t>L. Hollingsworth — General Counsel, ACME</w:t>
      </w:r>
    </w:p>
    <w:p>
      <w:pPr>
        <w:spacing w:after="160"/>
      </w:pPr>
      <w:r>
        <w:rPr>
          <w:i w:val="0"/>
          <w:sz w:val="20"/>
        </w:rPr>
        <w:t>S. Achebe — Chief Information Officer, ACME</w:t>
      </w:r>
    </w:p>
    <w:p>
      <w:pPr>
        <w:spacing w:before="280" w:after="120"/>
      </w:pPr>
      <w:r>
        <w:rPr>
          <w:b/>
          <w:color w:val="1B3A6B"/>
          <w:sz w:val="23"/>
        </w:rPr>
        <w:t>Integration Management Office 4</w:t>
      </w:r>
    </w:p>
    <w:p>
      <w:pPr>
        <w:spacing w:after="160"/>
      </w:pPr>
      <w:r>
        <w:rPr>
          <w:i w:val="0"/>
          <w:sz w:val="20"/>
        </w:rPr>
        <w:t>N. Farnsworth — PMO Analyst</w:t>
      </w:r>
    </w:p>
    <w:p>
      <w:pPr>
        <w:spacing w:after="160"/>
      </w:pPr>
      <w:r>
        <w:rPr>
          <w:i w:val="0"/>
          <w:sz w:val="20"/>
        </w:rPr>
        <w:t>J. Petrosyan — Synergy &amp; Financial Analyst</w:t>
      </w:r>
    </w:p>
    <w:p>
      <w:pPr>
        <w:spacing w:after="160"/>
      </w:pPr>
      <w:r>
        <w:rPr>
          <w:i w:val="0"/>
          <w:sz w:val="20"/>
        </w:rPr>
        <w:t>A. Winterbourne — Change &amp; Communications Lead</w:t>
      </w:r>
    </w:p>
    <w:p>
      <w:pPr>
        <w:spacing w:after="160"/>
      </w:pPr>
      <w:r>
        <w:rPr>
          <w:i w:val="0"/>
          <w:sz w:val="20"/>
        </w:rPr>
        <w:t>G. Threadgill — TSA Manager — owns exit</w:t>
      </w:r>
    </w:p>
    <w:p>
      <w:pPr>
        <w:spacing w:after="160"/>
      </w:pPr>
      <w:r>
        <w:rPr>
          <w:i w:val="0"/>
          <w:sz w:val="20"/>
        </w:rPr>
        <w:t>Reports to the Sponsor. Employs nobody on the program.</w:t>
      </w:r>
    </w:p>
    <w:p>
      <w:pPr>
        <w:spacing w:before="280" w:after="120"/>
      </w:pPr>
      <w:r>
        <w:rPr>
          <w:b/>
          <w:color w:val="1B3A6B"/>
          <w:sz w:val="23"/>
        </w:rPr>
        <w:t>Clean Team 4</w:t>
      </w:r>
    </w:p>
    <w:p>
      <w:pPr>
        <w:spacing w:after="160"/>
      </w:pPr>
      <w:r>
        <w:rPr>
          <w:i w:val="0"/>
          <w:sz w:val="20"/>
        </w:rPr>
        <w:t>P. Marchetti — Clean Team Lead</w:t>
      </w:r>
    </w:p>
    <w:p>
      <w:pPr>
        <w:spacing w:after="160"/>
      </w:pPr>
      <w:r>
        <w:rPr>
          <w:i w:val="0"/>
          <w:sz w:val="20"/>
        </w:rPr>
        <w:t>K. Oyelaran — Clean Team Analyst — pricing &amp; network rates</w:t>
      </w:r>
    </w:p>
    <w:p>
      <w:pPr>
        <w:spacing w:after="160"/>
      </w:pPr>
      <w:r>
        <w:rPr>
          <w:i w:val="0"/>
          <w:sz w:val="20"/>
        </w:rPr>
        <w:t>B. Sandoval — Clean Team Analyst — membership &amp; claims volu…</w:t>
      </w:r>
    </w:p>
    <w:p>
      <w:pPr>
        <w:spacing w:after="160"/>
      </w:pPr>
      <w:r>
        <w:rPr>
          <w:i w:val="0"/>
          <w:sz w:val="20"/>
        </w:rPr>
        <w:t>H. Tillinghast — Clean Team Counsel (outside)</w:t>
      </w:r>
    </w:p>
    <w:p>
      <w:pPr>
        <w:spacing w:after="160"/>
      </w:pPr>
      <w:r>
        <w:rPr>
          <w:i w:val="0"/>
          <w:sz w:val="20"/>
        </w:rPr>
        <w:t>⚠ Reports to both General Counsel. No line into the IMO.</w:t>
      </w:r>
    </w:p>
    <w:p>
      <w:pPr>
        <w:spacing w:after="160"/>
      </w:pPr>
      <w:r>
        <w:rPr>
          <w:i w:val="0"/>
          <w:sz w:val="20"/>
        </w:rPr>
        <w:t>Workstream leads — 17 workstreams, each an ACME lead paired with a Cumberland Valley counterpart</w:t>
      </w:r>
    </w:p>
    <w:tbl>
      <w:tblPr>
        <w:tblStyle w:val="TableGrid"/>
        <w:tblW w:type="auto" w:w="0"/>
        <w:tblLook w:firstColumn="1" w:firstRow="1" w:lastColumn="0" w:lastRow="0" w:noHBand="0" w:noVBand="1" w:val="04A0"/>
      </w:tblPr>
      <w:tblGrid>
        <w:gridCol w:w="2484"/>
        <w:gridCol w:w="2484"/>
        <w:gridCol w:w="2484"/>
        <w:gridCol w:w="2484"/>
      </w:tblGrid>
      <w:tr>
        <w:tc>
          <w:tcPr>
            <w:tcW w:type="dxa" w:w="2484"/>
          </w:tcPr>
          <w:p>
            <w:r>
              <w:rPr>
                <w:b/>
                <w:color w:val="1B3A6B"/>
                <w:sz w:val="18"/>
              </w:rPr>
              <w:t>Workstream</w:t>
            </w:r>
          </w:p>
        </w:tc>
        <w:tc>
          <w:tcPr>
            <w:tcW w:type="dxa" w:w="2484"/>
          </w:tcPr>
          <w:p>
            <w:r>
              <w:rPr>
                <w:b/>
                <w:color w:val="1B3A6B"/>
                <w:sz w:val="18"/>
              </w:rPr>
              <w:t>ACME lead</w:t>
            </w:r>
          </w:p>
        </w:tc>
        <w:tc>
          <w:tcPr>
            <w:tcW w:type="dxa" w:w="2484"/>
          </w:tcPr>
          <w:p>
            <w:r>
              <w:rPr>
                <w:b/>
                <w:color w:val="1B3A6B"/>
                <w:sz w:val="18"/>
              </w:rPr>
              <w:t>Cumberland Valley counterpart</w:t>
            </w:r>
          </w:p>
        </w:tc>
        <w:tc>
          <w:tcPr>
            <w:tcW w:type="dxa" w:w="2484"/>
          </w:tcPr>
          <w:p>
            <w:r>
              <w:rPr>
                <w:b/>
                <w:color w:val="1B3A6B"/>
                <w:sz w:val="18"/>
              </w:rPr>
              <w:t>People</w:t>
            </w:r>
          </w:p>
        </w:tc>
      </w:tr>
      <w:tr>
        <w:tc>
          <w:tcPr>
            <w:tcW w:type="dxa" w:w="2484"/>
          </w:tcPr>
          <w:p>
            <w:r>
              <w:rPr>
                <w:sz w:val="18"/>
              </w:rPr>
              <w:t>Claims &amp; Core Administration</w:t>
            </w:r>
          </w:p>
        </w:tc>
        <w:tc>
          <w:tcPr>
            <w:tcW w:type="dxa" w:w="2484"/>
          </w:tcPr>
          <w:p>
            <w:r>
              <w:rPr>
                <w:sz w:val="18"/>
              </w:rPr>
              <w:t>W. Ferriday — VP Claims Operations, ACME — Workstream Lead</w:t>
            </w:r>
          </w:p>
        </w:tc>
        <w:tc>
          <w:tcPr>
            <w:tcW w:type="dxa" w:w="2484"/>
          </w:tcPr>
          <w:p>
            <w:r>
              <w:rPr>
                <w:sz w:val="18"/>
              </w:rPr>
              <w:t>D. Halloran — Business Analyst — enrollment &amp; eligibility</w:t>
            </w:r>
          </w:p>
        </w:tc>
        <w:tc>
          <w:tcPr>
            <w:tcW w:type="dxa" w:w="2484"/>
          </w:tcPr>
          <w:p>
            <w:r>
              <w:rPr>
                <w:sz w:val="18"/>
              </w:rPr>
              <w:t>11</w:t>
            </w:r>
          </w:p>
        </w:tc>
      </w:tr>
      <w:tr>
        <w:tc>
          <w:tcPr>
            <w:tcW w:type="dxa" w:w="2484"/>
          </w:tcPr>
          <w:p>
            <w:r>
              <w:rPr>
                <w:sz w:val="18"/>
              </w:rPr>
              <w:t>Data &amp; EMPI</w:t>
            </w:r>
          </w:p>
        </w:tc>
        <w:tc>
          <w:tcPr>
            <w:tcW w:type="dxa" w:w="2484"/>
          </w:tcPr>
          <w:p>
            <w:r>
              <w:rPr>
                <w:sz w:val="18"/>
              </w:rPr>
              <w:t>Dr. A. Ravindran — Director, Enterprise Data Management, ACME …</w:t>
            </w:r>
          </w:p>
        </w:tc>
        <w:tc>
          <w:tcPr>
            <w:tcW w:type="dxa" w:w="2484"/>
          </w:tcPr>
          <w:p>
            <w:r>
              <w:rPr>
                <w:sz w:val="18"/>
              </w:rPr>
              <w:t>C. Bhattacharya — Manager, Member Data, Cumberland Valley</w:t>
            </w:r>
          </w:p>
        </w:tc>
        <w:tc>
          <w:tcPr>
            <w:tcW w:type="dxa" w:w="2484"/>
          </w:tcPr>
          <w:p>
            <w:r>
              <w:rPr>
                <w:sz w:val="18"/>
              </w:rPr>
              <w:t>11</w:t>
            </w:r>
          </w:p>
        </w:tc>
      </w:tr>
      <w:tr>
        <w:tc>
          <w:tcPr>
            <w:tcW w:type="dxa" w:w="2484"/>
          </w:tcPr>
          <w:p>
            <w:r>
              <w:rPr>
                <w:sz w:val="18"/>
              </w:rPr>
              <w:t>Application Integration</w:t>
            </w:r>
          </w:p>
        </w:tc>
        <w:tc>
          <w:tcPr>
            <w:tcW w:type="dxa" w:w="2484"/>
          </w:tcPr>
          <w:p>
            <w:r>
              <w:rPr>
                <w:sz w:val="18"/>
              </w:rPr>
              <w:t>K. Stallworth — Director, Enterprise Integration, ACME — Wo…</w:t>
            </w:r>
          </w:p>
        </w:tc>
        <w:tc>
          <w:tcPr>
            <w:tcW w:type="dxa" w:w="2484"/>
          </w:tcPr>
          <w:p>
            <w:r>
              <w:rPr>
                <w:sz w:val="18"/>
              </w:rPr>
              <w:t>J. Amonett — Manager, Interfaces, Cumberland Valley</w:t>
            </w:r>
          </w:p>
        </w:tc>
        <w:tc>
          <w:tcPr>
            <w:tcW w:type="dxa" w:w="2484"/>
          </w:tcPr>
          <w:p>
            <w:r>
              <w:rPr>
                <w:sz w:val="18"/>
              </w:rPr>
              <w:t>11</w:t>
            </w:r>
          </w:p>
        </w:tc>
      </w:tr>
      <w:tr>
        <w:tc>
          <w:tcPr>
            <w:tcW w:type="dxa" w:w="2484"/>
          </w:tcPr>
          <w:p>
            <w:r>
              <w:rPr>
                <w:sz w:val="18"/>
              </w:rPr>
              <w:t>Cloud &amp; Infrastructure</w:t>
            </w:r>
          </w:p>
        </w:tc>
        <w:tc>
          <w:tcPr>
            <w:tcW w:type="dxa" w:w="2484"/>
          </w:tcPr>
          <w:p>
            <w:r>
              <w:rPr>
                <w:sz w:val="18"/>
              </w:rPr>
              <w:t>B. Trammell — VP Infrastructure, ACME — Workstream Lead</w:t>
            </w:r>
          </w:p>
        </w:tc>
        <w:tc>
          <w:tcPr>
            <w:tcW w:type="dxa" w:w="2484"/>
          </w:tcPr>
          <w:p>
            <w:r>
              <w:rPr>
                <w:sz w:val="18"/>
              </w:rPr>
              <w:t>G. Whitmire — Director, IT Operations, Cumberland Valley</w:t>
            </w:r>
          </w:p>
        </w:tc>
        <w:tc>
          <w:tcPr>
            <w:tcW w:type="dxa" w:w="2484"/>
          </w:tcPr>
          <w:p>
            <w:r>
              <w:rPr>
                <w:sz w:val="18"/>
              </w:rPr>
              <w:t>7</w:t>
            </w:r>
          </w:p>
        </w:tc>
      </w:tr>
      <w:tr>
        <w:tc>
          <w:tcPr>
            <w:tcW w:type="dxa" w:w="2484"/>
          </w:tcPr>
          <w:p>
            <w:r>
              <w:rPr>
                <w:sz w:val="18"/>
              </w:rPr>
              <w:t>Provider Network</w:t>
            </w:r>
          </w:p>
        </w:tc>
        <w:tc>
          <w:tcPr>
            <w:tcW w:type="dxa" w:w="2484"/>
          </w:tcPr>
          <w:p>
            <w:r>
              <w:rPr>
                <w:sz w:val="18"/>
              </w:rPr>
              <w:t>J. Kirkendall — VP Network Management, ACME — Workstream Le…</w:t>
            </w:r>
          </w:p>
        </w:tc>
        <w:tc>
          <w:tcPr>
            <w:tcW w:type="dxa" w:w="2484"/>
          </w:tcPr>
          <w:p>
            <w:r>
              <w:rPr>
                <w:sz w:val="18"/>
              </w:rPr>
              <w:t>A. Boudreaux — Director, Provider Contracting, Cumberland …</w:t>
            </w:r>
          </w:p>
        </w:tc>
        <w:tc>
          <w:tcPr>
            <w:tcW w:type="dxa" w:w="2484"/>
          </w:tcPr>
          <w:p>
            <w:r>
              <w:rPr>
                <w:sz w:val="18"/>
              </w:rPr>
              <w:t>2</w:t>
            </w:r>
          </w:p>
        </w:tc>
      </w:tr>
      <w:tr>
        <w:tc>
          <w:tcPr>
            <w:tcW w:type="dxa" w:w="2484"/>
          </w:tcPr>
          <w:p>
            <w:r>
              <w:rPr>
                <w:sz w:val="18"/>
              </w:rPr>
              <w:t>Care Management</w:t>
            </w:r>
          </w:p>
        </w:tc>
        <w:tc>
          <w:tcPr>
            <w:tcW w:type="dxa" w:w="2484"/>
          </w:tcPr>
          <w:p>
            <w:r>
              <w:rPr>
                <w:sz w:val="18"/>
              </w:rPr>
              <w:t>Dr. M. Ellsworth — Chief Medical Officer, ACME — Workstream Le…</w:t>
            </w:r>
          </w:p>
        </w:tc>
        <w:tc>
          <w:tcPr>
            <w:tcW w:type="dxa" w:w="2484"/>
          </w:tcPr>
          <w:p>
            <w:r>
              <w:rPr>
                <w:sz w:val="18"/>
              </w:rPr>
              <w:t>Dr. P. Nwachukwu — VP Care Management, Cumberland Valley</w:t>
            </w:r>
          </w:p>
        </w:tc>
        <w:tc>
          <w:tcPr>
            <w:tcW w:type="dxa" w:w="2484"/>
          </w:tcPr>
          <w:p>
            <w:r>
              <w:rPr>
                <w:sz w:val="18"/>
              </w:rPr>
              <w:t>2</w:t>
            </w:r>
          </w:p>
        </w:tc>
      </w:tr>
      <w:tr>
        <w:tc>
          <w:tcPr>
            <w:tcW w:type="dxa" w:w="2484"/>
          </w:tcPr>
          <w:p>
            <w:r>
              <w:rPr>
                <w:sz w:val="18"/>
              </w:rPr>
              <w:t>Member Services</w:t>
            </w:r>
          </w:p>
        </w:tc>
        <w:tc>
          <w:tcPr>
            <w:tcW w:type="dxa" w:w="2484"/>
          </w:tcPr>
          <w:p>
            <w:r>
              <w:rPr>
                <w:sz w:val="18"/>
              </w:rPr>
              <w:t>T. Ruffalo — VP Member Experience, ACME — Workstream Lead</w:t>
            </w:r>
          </w:p>
        </w:tc>
        <w:tc>
          <w:tcPr>
            <w:tcW w:type="dxa" w:w="2484"/>
          </w:tcPr>
          <w:p>
            <w:r>
              <w:rPr>
                <w:sz w:val="18"/>
              </w:rPr>
              <w:t>C. Hollifield — Director, Member Services, Cumberland Valley</w:t>
            </w:r>
          </w:p>
        </w:tc>
        <w:tc>
          <w:tcPr>
            <w:tcW w:type="dxa" w:w="2484"/>
          </w:tcPr>
          <w:p>
            <w:r>
              <w:rPr>
                <w:sz w:val="18"/>
              </w:rPr>
              <w:t>2</w:t>
            </w:r>
          </w:p>
        </w:tc>
      </w:tr>
      <w:tr>
        <w:tc>
          <w:tcPr>
            <w:tcW w:type="dxa" w:w="2484"/>
          </w:tcPr>
          <w:p>
            <w:r>
              <w:rPr>
                <w:sz w:val="18"/>
              </w:rPr>
              <w:t>Finance &amp; Accounting</w:t>
            </w:r>
          </w:p>
        </w:tc>
        <w:tc>
          <w:tcPr>
            <w:tcW w:type="dxa" w:w="2484"/>
          </w:tcPr>
          <w:p>
            <w:r>
              <w:rPr>
                <w:sz w:val="18"/>
              </w:rPr>
              <w:t>S. Beauregard — VP Financial Planning &amp; Analysis, ACME — Wo…</w:t>
            </w:r>
          </w:p>
        </w:tc>
        <w:tc>
          <w:tcPr>
            <w:tcW w:type="dxa" w:w="2484"/>
          </w:tcPr>
          <w:p>
            <w:r>
              <w:rPr>
                <w:sz w:val="18"/>
              </w:rPr>
              <w:t>N. Applewhite — Controller, Cumberland Valley</w:t>
            </w:r>
          </w:p>
        </w:tc>
        <w:tc>
          <w:tcPr>
            <w:tcW w:type="dxa" w:w="2484"/>
          </w:tcPr>
          <w:p>
            <w:r>
              <w:rPr>
                <w:sz w:val="18"/>
              </w:rPr>
              <w:t>2</w:t>
            </w:r>
          </w:p>
        </w:tc>
      </w:tr>
      <w:tr>
        <w:tc>
          <w:tcPr>
            <w:tcW w:type="dxa" w:w="2484"/>
          </w:tcPr>
          <w:p>
            <w:r>
              <w:rPr>
                <w:sz w:val="18"/>
              </w:rPr>
              <w:t>HR &amp; Talent</w:t>
            </w:r>
          </w:p>
        </w:tc>
        <w:tc>
          <w:tcPr>
            <w:tcW w:type="dxa" w:w="2484"/>
          </w:tcPr>
          <w:p>
            <w:r>
              <w:rPr>
                <w:sz w:val="18"/>
              </w:rPr>
              <w:t>D. Marchbanks — SVP Human Resources, ACME — Workstream Lead</w:t>
            </w:r>
          </w:p>
        </w:tc>
        <w:tc>
          <w:tcPr>
            <w:tcW w:type="dxa" w:w="2484"/>
          </w:tcPr>
          <w:p>
            <w:r>
              <w:rPr>
                <w:sz w:val="18"/>
              </w:rPr>
              <w:t>K. Osterhout — Director, HR Business Partner, Cumberland V…</w:t>
            </w:r>
          </w:p>
        </w:tc>
        <w:tc>
          <w:tcPr>
            <w:tcW w:type="dxa" w:w="2484"/>
          </w:tcPr>
          <w:p>
            <w:r>
              <w:rPr>
                <w:sz w:val="18"/>
              </w:rPr>
              <w:t>2</w:t>
            </w:r>
          </w:p>
        </w:tc>
      </w:tr>
      <w:tr>
        <w:tc>
          <w:tcPr>
            <w:tcW w:type="dxa" w:w="2484"/>
          </w:tcPr>
          <w:p>
            <w:r>
              <w:rPr>
                <w:sz w:val="18"/>
              </w:rPr>
              <w:t>Legal &amp; Regulatory</w:t>
            </w:r>
          </w:p>
        </w:tc>
        <w:tc>
          <w:tcPr>
            <w:tcW w:type="dxa" w:w="2484"/>
          </w:tcPr>
          <w:p>
            <w:r>
              <w:rPr>
                <w:sz w:val="18"/>
              </w:rPr>
              <w:t>F. Underhill — Associate General Counsel, M&amp;A, ACME — Work…</w:t>
            </w:r>
          </w:p>
        </w:tc>
        <w:tc>
          <w:tcPr>
            <w:tcW w:type="dxa" w:w="2484"/>
          </w:tcPr>
          <w:p>
            <w:r>
              <w:rPr>
                <w:sz w:val="18"/>
              </w:rPr>
              <w:t>M. Sheffield — General Counsel, Cumberland Valley</w:t>
            </w:r>
          </w:p>
        </w:tc>
        <w:tc>
          <w:tcPr>
            <w:tcW w:type="dxa" w:w="2484"/>
          </w:tcPr>
          <w:p>
            <w:r>
              <w:rPr>
                <w:sz w:val="18"/>
              </w:rPr>
              <w:t>3</w:t>
            </w:r>
          </w:p>
        </w:tc>
      </w:tr>
      <w:tr>
        <w:tc>
          <w:tcPr>
            <w:tcW w:type="dxa" w:w="2484"/>
          </w:tcPr>
          <w:p>
            <w:r>
              <w:rPr>
                <w:sz w:val="18"/>
              </w:rPr>
              <w:t>Compliance &amp; Privacy</w:t>
            </w:r>
          </w:p>
        </w:tc>
        <w:tc>
          <w:tcPr>
            <w:tcW w:type="dxa" w:w="2484"/>
          </w:tcPr>
          <w:p>
            <w:r>
              <w:rPr>
                <w:sz w:val="18"/>
              </w:rPr>
              <w:t>L. Braithwaite — Chief Privacy Officer, ACME — Workstream Le…</w:t>
            </w:r>
          </w:p>
        </w:tc>
        <w:tc>
          <w:tcPr>
            <w:tcW w:type="dxa" w:w="2484"/>
          </w:tcPr>
          <w:p>
            <w:r>
              <w:rPr>
                <w:sz w:val="18"/>
              </w:rPr>
              <w:t>J. Ferrandino — Compliance Director, Cumberland Valley</w:t>
            </w:r>
          </w:p>
        </w:tc>
        <w:tc>
          <w:tcPr>
            <w:tcW w:type="dxa" w:w="2484"/>
          </w:tcPr>
          <w:p>
            <w:r>
              <w:rPr>
                <w:sz w:val="18"/>
              </w:rPr>
              <w:t>2</w:t>
            </w:r>
          </w:p>
        </w:tc>
      </w:tr>
      <w:tr>
        <w:tc>
          <w:tcPr>
            <w:tcW w:type="dxa" w:w="2484"/>
          </w:tcPr>
          <w:p>
            <w:r>
              <w:rPr>
                <w:sz w:val="18"/>
              </w:rPr>
              <w:t>Security</w:t>
            </w:r>
          </w:p>
        </w:tc>
        <w:tc>
          <w:tcPr>
            <w:tcW w:type="dxa" w:w="2484"/>
          </w:tcPr>
          <w:p>
            <w:r>
              <w:rPr>
                <w:sz w:val="18"/>
              </w:rPr>
              <w:t>A. Quintanilla — Chief Information Security Officer, ACME — …</w:t>
            </w:r>
          </w:p>
        </w:tc>
        <w:tc>
          <w:tcPr>
            <w:tcW w:type="dxa" w:w="2484"/>
          </w:tcPr>
          <w:p>
            <w:r>
              <w:rPr>
                <w:sz w:val="18"/>
              </w:rPr>
              <w:t>P. Hasenfratz — Manager, Information Security, Cumberland V…</w:t>
            </w:r>
          </w:p>
        </w:tc>
        <w:tc>
          <w:tcPr>
            <w:tcW w:type="dxa" w:w="2484"/>
          </w:tcPr>
          <w:p>
            <w:r>
              <w:rPr>
                <w:sz w:val="18"/>
              </w:rPr>
              <w:t>2</w:t>
            </w:r>
          </w:p>
        </w:tc>
      </w:tr>
      <w:tr>
        <w:tc>
          <w:tcPr>
            <w:tcW w:type="dxa" w:w="2484"/>
          </w:tcPr>
          <w:p>
            <w:r>
              <w:rPr>
                <w:sz w:val="18"/>
              </w:rPr>
              <w:t>Actuarial &amp; Underwriting</w:t>
            </w:r>
          </w:p>
        </w:tc>
        <w:tc>
          <w:tcPr>
            <w:tcW w:type="dxa" w:w="2484"/>
          </w:tcPr>
          <w:p>
            <w:r>
              <w:rPr>
                <w:sz w:val="18"/>
              </w:rPr>
              <w:t>E. Wetherby — VP Actuarial Services, ACME — Workstream Le…</w:t>
            </w:r>
          </w:p>
        </w:tc>
        <w:tc>
          <w:tcPr>
            <w:tcW w:type="dxa" w:w="2484"/>
          </w:tcPr>
          <w:p>
            <w:r>
              <w:rPr>
                <w:sz w:val="18"/>
              </w:rPr>
              <w:t>C. Adeyemi — Chief Actuary, Cumberland Valley</w:t>
            </w:r>
          </w:p>
        </w:tc>
        <w:tc>
          <w:tcPr>
            <w:tcW w:type="dxa" w:w="2484"/>
          </w:tcPr>
          <w:p>
            <w:r>
              <w:rPr>
                <w:sz w:val="18"/>
              </w:rPr>
              <w:t>2</w:t>
            </w:r>
          </w:p>
        </w:tc>
      </w:tr>
      <w:tr>
        <w:tc>
          <w:tcPr>
            <w:tcW w:type="dxa" w:w="2484"/>
          </w:tcPr>
          <w:p>
            <w:r>
              <w:rPr>
                <w:sz w:val="18"/>
              </w:rPr>
              <w:t>Communications</w:t>
            </w:r>
          </w:p>
        </w:tc>
        <w:tc>
          <w:tcPr>
            <w:tcW w:type="dxa" w:w="2484"/>
          </w:tcPr>
          <w:p>
            <w:r>
              <w:rPr>
                <w:sz w:val="18"/>
              </w:rPr>
              <w:t>B. Lundquist — VP Corporate Communications, ACME — Workstr…</w:t>
            </w:r>
          </w:p>
        </w:tc>
        <w:tc>
          <w:tcPr>
            <w:tcW w:type="dxa" w:w="2484"/>
          </w:tcPr>
          <w:p>
            <w:r>
              <w:rPr>
                <w:sz w:val="18"/>
              </w:rPr>
              <w:t>R. Tomlinson — Director, Communications, Cumberland Valley</w:t>
            </w:r>
          </w:p>
        </w:tc>
        <w:tc>
          <w:tcPr>
            <w:tcW w:type="dxa" w:w="2484"/>
          </w:tcPr>
          <w:p>
            <w:r>
              <w:rPr>
                <w:sz w:val="18"/>
              </w:rPr>
              <w:t>2</w:t>
            </w:r>
          </w:p>
        </w:tc>
      </w:tr>
      <w:tr>
        <w:tc>
          <w:tcPr>
            <w:tcW w:type="dxa" w:w="2484"/>
          </w:tcPr>
          <w:p>
            <w:r>
              <w:rPr>
                <w:sz w:val="18"/>
              </w:rPr>
              <w:t>Vendor &amp; Contract Management</w:t>
            </w:r>
          </w:p>
        </w:tc>
        <w:tc>
          <w:tcPr>
            <w:tcW w:type="dxa" w:w="2484"/>
          </w:tcPr>
          <w:p>
            <w:r>
              <w:rPr>
                <w:sz w:val="18"/>
              </w:rPr>
              <w:t>H. Castellow — VP Procurement, ACME — Workstream Lead</w:t>
            </w:r>
          </w:p>
        </w:tc>
        <w:tc>
          <w:tcPr>
            <w:tcW w:type="dxa" w:w="2484"/>
          </w:tcPr>
          <w:p>
            <w:r>
              <w:rPr>
                <w:sz w:val="18"/>
              </w:rPr>
              <w:t>D. Achterberg — Director, Vendor Management, Cumberland Val…</w:t>
            </w:r>
          </w:p>
        </w:tc>
        <w:tc>
          <w:tcPr>
            <w:tcW w:type="dxa" w:w="2484"/>
          </w:tcPr>
          <w:p>
            <w:r>
              <w:rPr>
                <w:sz w:val="18"/>
              </w:rPr>
              <w:t>3</w:t>
            </w:r>
          </w:p>
        </w:tc>
      </w:tr>
      <w:tr>
        <w:tc>
          <w:tcPr>
            <w:tcW w:type="dxa" w:w="2484"/>
          </w:tcPr>
          <w:p>
            <w:r>
              <w:rPr>
                <w:sz w:val="18"/>
              </w:rPr>
              <w:t>Facilities</w:t>
            </w:r>
          </w:p>
        </w:tc>
        <w:tc>
          <w:tcPr>
            <w:tcW w:type="dxa" w:w="2484"/>
          </w:tcPr>
          <w:p>
            <w:r>
              <w:rPr>
                <w:sz w:val="18"/>
              </w:rPr>
              <w:t>W. Pickering — Director, Corporate Real Estate, ACME — Wor…</w:t>
            </w:r>
          </w:p>
        </w:tc>
        <w:tc>
          <w:tcPr>
            <w:tcW w:type="dxa" w:w="2484"/>
          </w:tcPr>
          <w:p>
            <w:r>
              <w:rPr>
                <w:sz w:val="18"/>
              </w:rPr>
              <w:t>S. Grimsley — Facilities Manager, Cumberland Valley</w:t>
            </w:r>
          </w:p>
        </w:tc>
        <w:tc>
          <w:tcPr>
            <w:tcW w:type="dxa" w:w="2484"/>
          </w:tcPr>
          <w:p>
            <w:r>
              <w:rPr>
                <w:sz w:val="18"/>
              </w:rPr>
              <w:t>2</w:t>
            </w:r>
          </w:p>
        </w:tc>
      </w:tr>
      <w:tr>
        <w:tc>
          <w:tcPr>
            <w:tcW w:type="dxa" w:w="2484"/>
          </w:tcPr>
          <w:p>
            <w:r>
              <w:rPr>
                <w:sz w:val="18"/>
              </w:rPr>
              <w:t>EDI Transaction Assurance</w:t>
            </w:r>
          </w:p>
        </w:tc>
        <w:tc>
          <w:tcPr>
            <w:tcW w:type="dxa" w:w="2484"/>
          </w:tcPr>
          <w:p>
            <w:r>
              <w:rPr>
                <w:sz w:val="18"/>
              </w:rPr>
            </w:r>
          </w:p>
        </w:tc>
        <w:tc>
          <w:tcPr>
            <w:tcW w:type="dxa" w:w="2484"/>
          </w:tcPr>
          <w:p>
            <w:r>
              <w:rPr>
                <w:sz w:val="18"/>
              </w:rPr>
            </w:r>
          </w:p>
        </w:tc>
        <w:tc>
          <w:tcPr>
            <w:tcW w:type="dxa" w:w="2484"/>
          </w:tcPr>
          <w:p>
            <w:r>
              <w:rPr>
                <w:sz w:val="18"/>
              </w:rPr>
              <w:t>3</w:t>
            </w:r>
          </w:p>
        </w:tc>
      </w:tr>
    </w:tbl>
    <w:p/>
    <w:p>
      <w:pPr>
        <w:spacing w:before="360" w:after="120"/>
      </w:pPr>
      <w:r>
        <w:rPr>
          <w:b/>
          <w:color w:val="1B3A6B"/>
          <w:sz w:val="28"/>
        </w:rPr>
        <w:t>Page 2 — Core Delivery</w:t>
      </w:r>
    </w:p>
    <w:p>
      <w:pPr>
        <w:spacing w:after="160"/>
      </w:pPr>
      <w:r>
        <w:rPr>
          <w:i w:val="0"/>
          <w:sz w:val="20"/>
        </w:rPr>
        <w:t>The four workstreams that carry most of the program budget and the whole of the critical path.</w:t>
      </w:r>
    </w:p>
    <w:p>
      <w:pPr>
        <w:spacing w:before="320" w:after="120"/>
      </w:pPr>
      <w:r>
        <w:rPr>
          <w:b/>
          <w:color w:val="2B5C8A"/>
          <w:sz w:val="22"/>
        </w:rPr>
        <w:t>Diagram 2</w:t>
      </w:r>
    </w:p>
    <w:tbl>
      <w:tblPr>
        <w:tblStyle w:val="TableGrid"/>
        <w:tblW w:type="auto" w:w="0"/>
        <w:jc w:val="center"/>
        <w:tblLook w:firstColumn="1" w:firstRow="1" w:lastColumn="0" w:lastRow="0" w:noHBand="0" w:noVBand="1" w:val="04A0"/>
      </w:tblPr>
      <w:tblGrid>
        <w:gridCol w:w="2484"/>
        <w:gridCol w:w="2484"/>
        <w:gridCol w:w="2484"/>
        <w:gridCol w:w="2484"/>
      </w:tblGrid>
      <w:tr>
        <w:tc>
          <w:tcPr>
            <w:tcW w:type="dxa" w:w="2484"/>
          </w:tcPr>
          <w:p>
            <w:r>
              <w:rPr>
                <w:color w:val="5B6472"/>
                <w:sz w:val="17"/>
              </w:rPr>
              <w:t>Claims &amp; Core Administration</w:t>
            </w:r>
          </w:p>
        </w:tc>
        <w:tc>
          <w:tcPr>
            <w:tcW w:type="dxa" w:w="2484"/>
          </w:tcPr>
          <w:p>
            <w:r>
              <w:rPr>
                <w:color w:val="5B6472"/>
                <w:sz w:val="17"/>
              </w:rPr>
              <w:t>Data &amp; EMPI</w:t>
            </w:r>
          </w:p>
        </w:tc>
        <w:tc>
          <w:tcPr>
            <w:tcW w:type="dxa" w:w="2484"/>
          </w:tcPr>
          <w:p>
            <w:r>
              <w:rPr>
                <w:color w:val="5B6472"/>
                <w:sz w:val="17"/>
              </w:rPr>
              <w:t>Application Integration</w:t>
            </w:r>
          </w:p>
        </w:tc>
        <w:tc>
          <w:tcPr>
            <w:tcW w:type="dxa" w:w="2484"/>
          </w:tcPr>
          <w:p>
            <w:r>
              <w:rPr>
                <w:color w:val="5B6472"/>
                <w:sz w:val="17"/>
              </w:rPr>
              <w:t>Cloud &amp; Infrastructure</w:t>
            </w:r>
          </w:p>
        </w:tc>
      </w:tr>
      <w:tr>
        <w:tc>
          <w:tcPr>
            <w:tcW w:type="dxa" w:w="2484"/>
          </w:tcPr>
          <w:p>
            <w:r>
              <w:rPr>
                <w:sz w:val="17"/>
              </w:rPr>
              <w:t>11 people</w:t>
            </w:r>
          </w:p>
        </w:tc>
        <w:tc>
          <w:tcPr>
            <w:tcW w:type="dxa" w:w="2484"/>
          </w:tcPr>
          <w:p>
            <w:r>
              <w:rPr>
                <w:sz w:val="17"/>
              </w:rPr>
              <w:t>11 people</w:t>
            </w:r>
          </w:p>
        </w:tc>
        <w:tc>
          <w:tcPr>
            <w:tcW w:type="dxa" w:w="2484"/>
          </w:tcPr>
          <w:p>
            <w:r>
              <w:rPr>
                <w:sz w:val="17"/>
              </w:rPr>
              <w:t>11 people</w:t>
            </w:r>
          </w:p>
        </w:tc>
        <w:tc>
          <w:tcPr>
            <w:tcW w:type="dxa" w:w="2484"/>
          </w:tcPr>
          <w:p>
            <w:r>
              <w:rPr>
                <w:sz w:val="17"/>
              </w:rPr>
              <w:t>7 people</w:t>
            </w:r>
          </w:p>
        </w:tc>
      </w:tr>
      <w:tr>
        <w:tc>
          <w:tcPr>
            <w:tcW w:type="dxa" w:w="2484"/>
          </w:tcPr>
          <w:p>
            <w:r>
              <w:rPr>
                <w:b/>
                <w:color w:val="1B3A6B"/>
                <w:sz w:val="17"/>
              </w:rPr>
              <w:t>W. Ferriday</w:t>
            </w:r>
          </w:p>
        </w:tc>
        <w:tc>
          <w:tcPr>
            <w:tcW w:type="dxa" w:w="2484"/>
          </w:tcPr>
          <w:p>
            <w:r>
              <w:rPr>
                <w:b/>
                <w:color w:val="1B3A6B"/>
                <w:sz w:val="17"/>
              </w:rPr>
              <w:t>Dr. A. Ravindran</w:t>
            </w:r>
          </w:p>
        </w:tc>
        <w:tc>
          <w:tcPr>
            <w:tcW w:type="dxa" w:w="2484"/>
          </w:tcPr>
          <w:p>
            <w:r>
              <w:rPr>
                <w:b/>
                <w:color w:val="1B3A6B"/>
                <w:sz w:val="17"/>
              </w:rPr>
              <w:t>K. Stallworth</w:t>
            </w:r>
          </w:p>
        </w:tc>
        <w:tc>
          <w:tcPr>
            <w:tcW w:type="dxa" w:w="2484"/>
          </w:tcPr>
          <w:p>
            <w:r>
              <w:rPr>
                <w:b/>
                <w:color w:val="1B3A6B"/>
                <w:sz w:val="17"/>
              </w:rPr>
              <w:t>B. Trammell</w:t>
            </w:r>
          </w:p>
        </w:tc>
      </w:tr>
      <w:tr>
        <w:tc>
          <w:tcPr>
            <w:tcW w:type="dxa" w:w="2484"/>
          </w:tcPr>
          <w:p>
            <w:r>
              <w:rPr>
                <w:color w:val="5B6472"/>
                <w:sz w:val="17"/>
              </w:rPr>
              <w:t>VP Claims Operations, ACME — Workstream L…</w:t>
            </w:r>
          </w:p>
        </w:tc>
        <w:tc>
          <w:tcPr>
            <w:tcW w:type="dxa" w:w="2484"/>
          </w:tcPr>
          <w:p>
            <w:r>
              <w:rPr>
                <w:color w:val="5B6472"/>
                <w:sz w:val="17"/>
              </w:rPr>
              <w:t>Director, Enterprise Data Management, ACM…</w:t>
            </w:r>
          </w:p>
        </w:tc>
        <w:tc>
          <w:tcPr>
            <w:tcW w:type="dxa" w:w="2484"/>
          </w:tcPr>
          <w:p>
            <w:r>
              <w:rPr>
                <w:color w:val="5B6472"/>
                <w:sz w:val="17"/>
              </w:rPr>
              <w:t>Director, Enterprise Integration, ACME — …</w:t>
            </w:r>
          </w:p>
        </w:tc>
        <w:tc>
          <w:tcPr>
            <w:tcW w:type="dxa" w:w="2484"/>
          </w:tcPr>
          <w:p>
            <w:r>
              <w:rPr>
                <w:color w:val="5B6472"/>
                <w:sz w:val="17"/>
              </w:rPr>
              <w:t>VP Infrastructure, ACME — Workstream Lead</w:t>
            </w:r>
          </w:p>
        </w:tc>
      </w:tr>
      <w:tr>
        <w:tc>
          <w:tcPr>
            <w:tcW w:type="dxa" w:w="2484"/>
          </w:tcPr>
          <w:p>
            <w:r>
              <w:rPr>
                <w:b/>
                <w:color w:val="1B3A6B"/>
                <w:sz w:val="17"/>
              </w:rPr>
              <w:t>D. Halloran</w:t>
            </w:r>
          </w:p>
        </w:tc>
        <w:tc>
          <w:tcPr>
            <w:tcW w:type="dxa" w:w="2484"/>
          </w:tcPr>
          <w:p>
            <w:r>
              <w:rPr>
                <w:b/>
                <w:color w:val="1B3A6B"/>
                <w:sz w:val="17"/>
              </w:rPr>
              <w:t>C. Bhattacharya</w:t>
            </w:r>
          </w:p>
        </w:tc>
        <w:tc>
          <w:tcPr>
            <w:tcW w:type="dxa" w:w="2484"/>
          </w:tcPr>
          <w:p>
            <w:r>
              <w:rPr>
                <w:b/>
                <w:color w:val="1B3A6B"/>
                <w:sz w:val="17"/>
              </w:rPr>
              <w:t>J. Amonett</w:t>
            </w:r>
          </w:p>
        </w:tc>
        <w:tc>
          <w:tcPr>
            <w:tcW w:type="dxa" w:w="2484"/>
          </w:tcPr>
          <w:p>
            <w:r>
              <w:rPr>
                <w:b/>
                <w:color w:val="1B3A6B"/>
                <w:sz w:val="17"/>
              </w:rPr>
              <w:t>G. Whitmire</w:t>
            </w:r>
          </w:p>
        </w:tc>
      </w:tr>
      <w:tr>
        <w:tc>
          <w:tcPr>
            <w:tcW w:type="dxa" w:w="2484"/>
          </w:tcPr>
          <w:p>
            <w:r>
              <w:rPr>
                <w:color w:val="5B6472"/>
                <w:sz w:val="17"/>
              </w:rPr>
              <w:t>Business Analyst — enrollment &amp; eligibili…</w:t>
            </w:r>
          </w:p>
        </w:tc>
        <w:tc>
          <w:tcPr>
            <w:tcW w:type="dxa" w:w="2484"/>
          </w:tcPr>
          <w:p>
            <w:r>
              <w:rPr>
                <w:color w:val="5B6472"/>
                <w:sz w:val="17"/>
              </w:rPr>
              <w:t>Manager, Member Data, Cumberland Valley</w:t>
            </w:r>
          </w:p>
        </w:tc>
        <w:tc>
          <w:tcPr>
            <w:tcW w:type="dxa" w:w="2484"/>
          </w:tcPr>
          <w:p>
            <w:r>
              <w:rPr>
                <w:color w:val="5B6472"/>
                <w:sz w:val="17"/>
              </w:rPr>
              <w:t>Manager, Interfaces, Cumberland Valley</w:t>
            </w:r>
          </w:p>
        </w:tc>
        <w:tc>
          <w:tcPr>
            <w:tcW w:type="dxa" w:w="2484"/>
          </w:tcPr>
          <w:p>
            <w:r>
              <w:rPr>
                <w:color w:val="5B6472"/>
                <w:sz w:val="17"/>
              </w:rPr>
              <w:t>Director, IT Operations, Cumberland Valley</w:t>
            </w:r>
          </w:p>
        </w:tc>
      </w:tr>
      <w:tr>
        <w:tc>
          <w:tcPr>
            <w:tcW w:type="dxa" w:w="2484"/>
          </w:tcPr>
          <w:p>
            <w:r>
              <w:rPr>
                <w:b/>
                <w:color w:val="1B3A6B"/>
                <w:sz w:val="17"/>
              </w:rPr>
              <w:t>R. Sedgwick</w:t>
            </w:r>
          </w:p>
        </w:tc>
        <w:tc>
          <w:tcPr>
            <w:tcW w:type="dxa" w:w="2484"/>
          </w:tcPr>
          <w:p>
            <w:r>
              <w:rPr>
                <w:b/>
                <w:color w:val="1B3A6B"/>
                <w:sz w:val="17"/>
              </w:rPr>
              <w:t>P. Ramaswamy</w:t>
            </w:r>
          </w:p>
        </w:tc>
        <w:tc>
          <w:tcPr>
            <w:tcW w:type="dxa" w:w="2484"/>
          </w:tcPr>
          <w:p>
            <w:r>
              <w:rPr>
                <w:b/>
                <w:color w:val="1B3A6B"/>
                <w:sz w:val="17"/>
              </w:rPr>
              <w:t>K. Balasubramanian</w:t>
            </w:r>
          </w:p>
        </w:tc>
        <w:tc>
          <w:tcPr>
            <w:tcW w:type="dxa" w:w="2484"/>
          </w:tcPr>
          <w:p>
            <w:r>
              <w:rPr>
                <w:b/>
                <w:color w:val="1B3A6B"/>
                <w:sz w:val="17"/>
              </w:rPr>
              <w:t>C. Larkspur</w:t>
            </w:r>
          </w:p>
        </w:tc>
      </w:tr>
      <w:tr>
        <w:tc>
          <w:tcPr>
            <w:tcW w:type="dxa" w:w="2484"/>
          </w:tcPr>
          <w:p>
            <w:r>
              <w:rPr>
                <w:color w:val="5B6472"/>
                <w:sz w:val="17"/>
              </w:rPr>
              <w:t>Business Analyst — benefit configuration</w:t>
            </w:r>
          </w:p>
        </w:tc>
        <w:tc>
          <w:tcPr>
            <w:tcW w:type="dxa" w:w="2484"/>
          </w:tcPr>
          <w:p>
            <w:r>
              <w:rPr>
                <w:color w:val="5B6472"/>
                <w:sz w:val="17"/>
              </w:rPr>
              <w:t>Senior Data Engineer, EMPI Build</w:t>
            </w:r>
          </w:p>
        </w:tc>
        <w:tc>
          <w:tcPr>
            <w:tcW w:type="dxa" w:w="2484"/>
          </w:tcPr>
          <w:p>
            <w:r>
              <w:rPr>
                <w:color w:val="5B6472"/>
                <w:sz w:val="17"/>
              </w:rPr>
              <w:t>Business Analyst — interface requirements</w:t>
            </w:r>
          </w:p>
        </w:tc>
        <w:tc>
          <w:tcPr>
            <w:tcW w:type="dxa" w:w="2484"/>
          </w:tcPr>
          <w:p>
            <w:r>
              <w:rPr>
                <w:color w:val="5B6472"/>
                <w:sz w:val="17"/>
              </w:rPr>
              <w:t>Release &amp; Environment Manager</w:t>
            </w:r>
          </w:p>
        </w:tc>
      </w:tr>
      <w:tr>
        <w:tc>
          <w:tcPr>
            <w:tcW w:type="dxa" w:w="2484"/>
          </w:tcPr>
          <w:p>
            <w:r>
              <w:rPr>
                <w:b/>
                <w:color w:val="1B3A6B"/>
                <w:sz w:val="17"/>
              </w:rPr>
              <w:t>M. Prideaux</w:t>
            </w:r>
          </w:p>
        </w:tc>
        <w:tc>
          <w:tcPr>
            <w:tcW w:type="dxa" w:w="2484"/>
          </w:tcPr>
          <w:p>
            <w:r>
              <w:rPr>
                <w:b/>
                <w:color w:val="1B3A6B"/>
                <w:sz w:val="17"/>
              </w:rPr>
              <w:t>M. Thibodeaux</w:t>
            </w:r>
          </w:p>
        </w:tc>
        <w:tc>
          <w:tcPr>
            <w:tcW w:type="dxa" w:w="2484"/>
          </w:tcPr>
          <w:p>
            <w:r>
              <w:rPr>
                <w:b/>
                <w:color w:val="1B3A6B"/>
                <w:sz w:val="17"/>
              </w:rPr>
              <w:t>A. Feldstein</w:t>
            </w:r>
          </w:p>
        </w:tc>
        <w:tc>
          <w:tcPr>
            <w:tcW w:type="dxa" w:w="2484"/>
          </w:tcPr>
          <w:p>
            <w:r>
              <w:rPr>
                <w:b/>
                <w:color w:val="1B3A6B"/>
                <w:sz w:val="17"/>
              </w:rPr>
              <w:t>H. Sandifer</w:t>
            </w:r>
          </w:p>
        </w:tc>
      </w:tr>
      <w:tr>
        <w:tc>
          <w:tcPr>
            <w:tcW w:type="dxa" w:w="2484"/>
          </w:tcPr>
          <w:p>
            <w:r>
              <w:rPr>
                <w:color w:val="5B6472"/>
                <w:sz w:val="17"/>
              </w:rPr>
              <w:t>Configuration Analyst, Core Administration</w:t>
            </w:r>
          </w:p>
        </w:tc>
        <w:tc>
          <w:tcPr>
            <w:tcW w:type="dxa" w:w="2484"/>
          </w:tcPr>
          <w:p>
            <w:r>
              <w:rPr>
                <w:color w:val="5B6472"/>
                <w:sz w:val="17"/>
              </w:rPr>
              <w:t>Data Architect, ACME</w:t>
            </w:r>
          </w:p>
        </w:tc>
        <w:tc>
          <w:tcPr>
            <w:tcW w:type="dxa" w:w="2484"/>
          </w:tcPr>
          <w:p>
            <w:r>
              <w:rPr>
                <w:color w:val="5B6472"/>
                <w:sz w:val="17"/>
              </w:rPr>
              <w:t>Senior Engineer, Interface Build</w:t>
            </w:r>
          </w:p>
        </w:tc>
        <w:tc>
          <w:tcPr>
            <w:tcW w:type="dxa" w:w="2484"/>
          </w:tcPr>
          <w:p>
            <w:r>
              <w:rPr>
                <w:color w:val="5B6472"/>
                <w:sz w:val="17"/>
              </w:rPr>
              <w:t>Manager, Platform Engineering, ACME</w:t>
            </w:r>
          </w:p>
        </w:tc>
      </w:tr>
      <w:tr>
        <w:tc>
          <w:tcPr>
            <w:tcW w:type="dxa" w:w="2484"/>
          </w:tcPr>
          <w:p>
            <w:r>
              <w:rPr>
                <w:b/>
                <w:color w:val="1B3A6B"/>
                <w:sz w:val="17"/>
              </w:rPr>
              <w:t>J. Whitfield</w:t>
            </w:r>
          </w:p>
        </w:tc>
        <w:tc>
          <w:tcPr>
            <w:tcW w:type="dxa" w:w="2484"/>
          </w:tcPr>
          <w:p>
            <w:r>
              <w:rPr>
                <w:b/>
                <w:color w:val="1B3A6B"/>
                <w:sz w:val="17"/>
              </w:rPr>
              <w:t>S. Wrenfield</w:t>
            </w:r>
          </w:p>
        </w:tc>
        <w:tc>
          <w:tcPr>
            <w:tcW w:type="dxa" w:w="2484"/>
          </w:tcPr>
          <w:p>
            <w:r>
              <w:rPr>
                <w:b/>
                <w:color w:val="1B3A6B"/>
                <w:sz w:val="17"/>
              </w:rPr>
              <w:t>B. Nkemdirim</w:t>
            </w:r>
          </w:p>
        </w:tc>
        <w:tc>
          <w:tcPr>
            <w:tcW w:type="dxa" w:w="2484"/>
          </w:tcPr>
          <w:p>
            <w:r>
              <w:rPr>
                <w:b/>
                <w:color w:val="1B3A6B"/>
                <w:sz w:val="17"/>
              </w:rPr>
              <w:t>E. Kalinowski</w:t>
            </w:r>
          </w:p>
        </w:tc>
      </w:tr>
      <w:tr>
        <w:tc>
          <w:tcPr>
            <w:tcW w:type="dxa" w:w="2484"/>
          </w:tcPr>
          <w:p>
            <w:r>
              <w:rPr>
                <w:color w:val="5B6472"/>
                <w:sz w:val="17"/>
              </w:rPr>
              <w:t>Configuration Analyst, Claims — retiring …</w:t>
            </w:r>
          </w:p>
        </w:tc>
        <w:tc>
          <w:tcPr>
            <w:tcW w:type="dxa" w:w="2484"/>
          </w:tcPr>
          <w:p>
            <w:r>
              <w:rPr>
                <w:color w:val="5B6472"/>
                <w:sz w:val="17"/>
              </w:rPr>
              <w:t>Principal Consultant, Identity Resolution</w:t>
            </w:r>
          </w:p>
        </w:tc>
        <w:tc>
          <w:tcPr>
            <w:tcW w:type="dxa" w:w="2484"/>
          </w:tcPr>
          <w:p>
            <w:r>
              <w:rPr>
                <w:color w:val="5B6472"/>
                <w:sz w:val="17"/>
              </w:rPr>
              <w:t>Test Manager — equivalence testing (onsho…</w:t>
            </w:r>
          </w:p>
        </w:tc>
        <w:tc>
          <w:tcPr>
            <w:tcW w:type="dxa" w:w="2484"/>
          </w:tcPr>
          <w:p>
            <w:r>
              <w:rPr>
                <w:color w:val="5B6472"/>
                <w:sz w:val="17"/>
              </w:rPr>
              <w:t>Cloud Architect — landing zone</w:t>
            </w:r>
          </w:p>
        </w:tc>
      </w:tr>
      <w:tr>
        <w:tc>
          <w:tcPr>
            <w:tcW w:type="dxa" w:w="2484"/>
          </w:tcPr>
          <w:p>
            <w:r>
              <w:rPr>
                <w:b/>
                <w:color w:val="1B3A6B"/>
                <w:sz w:val="17"/>
              </w:rPr>
              <w:t>S. Coventry</w:t>
            </w:r>
          </w:p>
        </w:tc>
        <w:tc>
          <w:tcPr>
            <w:tcW w:type="dxa" w:w="2484"/>
          </w:tcPr>
          <w:p>
            <w:r>
              <w:rPr>
                <w:b/>
                <w:color w:val="1B3A6B"/>
                <w:sz w:val="17"/>
              </w:rPr>
              <w:t>I. Duvernay</w:t>
            </w:r>
          </w:p>
        </w:tc>
        <w:tc>
          <w:tcPr>
            <w:tcW w:type="dxa" w:w="2484"/>
          </w:tcPr>
          <w:p>
            <w:r>
              <w:rPr>
                <w:b/>
                <w:color w:val="1B3A6B"/>
                <w:sz w:val="17"/>
              </w:rPr>
              <w:t>R. Delacroix</w:t>
            </w:r>
          </w:p>
        </w:tc>
        <w:tc>
          <w:tcPr>
            <w:tcW w:type="dxa" w:w="2484"/>
          </w:tcPr>
          <w:p>
            <w:r>
              <w:rPr>
                <w:b/>
                <w:color w:val="1B3A6B"/>
                <w:sz w:val="17"/>
              </w:rPr>
              <w:t>D. Fontenot</w:t>
            </w:r>
          </w:p>
        </w:tc>
      </w:tr>
      <w:tr>
        <w:tc>
          <w:tcPr>
            <w:tcW w:type="dxa" w:w="2484"/>
          </w:tcPr>
          <w:p>
            <w:r>
              <w:rPr>
                <w:color w:val="5B6472"/>
                <w:sz w:val="17"/>
              </w:rPr>
              <w:t>QA Analyst — parallel run reconciliation</w:t>
            </w:r>
          </w:p>
        </w:tc>
        <w:tc>
          <w:tcPr>
            <w:tcW w:type="dxa" w:w="2484"/>
          </w:tcPr>
          <w:p>
            <w:r>
              <w:rPr>
                <w:color w:val="5B6472"/>
                <w:sz w:val="17"/>
              </w:rPr>
              <w:t>Senior Data Engineer, Matching &amp; Survivor…</w:t>
            </w:r>
          </w:p>
        </w:tc>
        <w:tc>
          <w:tcPr>
            <w:tcW w:type="dxa" w:w="2484"/>
          </w:tcPr>
          <w:p>
            <w:r>
              <w:rPr>
                <w:color w:val="5B6472"/>
                <w:sz w:val="17"/>
              </w:rPr>
              <w:t>Integration Architect — canonical model</w:t>
            </w:r>
          </w:p>
        </w:tc>
        <w:tc>
          <w:tcPr>
            <w:tcW w:type="dxa" w:w="2484"/>
          </w:tcPr>
          <w:p>
            <w:r>
              <w:rPr>
                <w:color w:val="5B6472"/>
                <w:sz w:val="17"/>
              </w:rPr>
              <w:t>Senior Cloud Engineer, Migration Waves</w:t>
            </w:r>
          </w:p>
        </w:tc>
      </w:tr>
      <w:tr>
        <w:tc>
          <w:tcPr>
            <w:tcW w:type="dxa" w:w="2484"/>
          </w:tcPr>
          <w:p>
            <w:r>
              <w:rPr>
                <w:b/>
                <w:color w:val="1B3A6B"/>
                <w:sz w:val="17"/>
              </w:rPr>
              <w:t>T. Calloway</w:t>
            </w:r>
          </w:p>
        </w:tc>
        <w:tc>
          <w:tcPr>
            <w:tcW w:type="dxa" w:w="2484"/>
          </w:tcPr>
          <w:p>
            <w:r>
              <w:rPr>
                <w:b/>
                <w:color w:val="1B3A6B"/>
                <w:sz w:val="17"/>
              </w:rPr>
              <w:t>Y. Abegunde</w:t>
            </w:r>
          </w:p>
        </w:tc>
        <w:tc>
          <w:tcPr>
            <w:tcW w:type="dxa" w:w="2484"/>
          </w:tcPr>
          <w:p>
            <w:r>
              <w:rPr>
                <w:b/>
                <w:color w:val="1B3A6B"/>
                <w:sz w:val="17"/>
              </w:rPr>
              <w:t>O. Hargrave</w:t>
            </w:r>
          </w:p>
        </w:tc>
        <w:tc>
          <w:tcPr>
            <w:tcW w:type="dxa" w:w="2484"/>
          </w:tcPr>
          <w:p>
            <w:r>
              <w:rPr>
                <w:b/>
                <w:color w:val="1B3A6B"/>
                <w:sz w:val="17"/>
              </w:rPr>
              <w:t>R. Ilesanmi</w:t>
            </w:r>
          </w:p>
        </w:tc>
      </w:tr>
      <w:tr>
        <w:tc>
          <w:tcPr>
            <w:tcW w:type="dxa" w:w="2484"/>
          </w:tcPr>
          <w:p>
            <w:r>
              <w:rPr>
                <w:color w:val="5B6472"/>
                <w:sz w:val="17"/>
              </w:rPr>
              <w:t>QA Analyst — parallel run reconciliation</w:t>
            </w:r>
          </w:p>
        </w:tc>
        <w:tc>
          <w:tcPr>
            <w:tcW w:type="dxa" w:w="2484"/>
          </w:tcPr>
          <w:p>
            <w:r>
              <w:rPr>
                <w:color w:val="5B6472"/>
                <w:sz w:val="17"/>
              </w:rPr>
              <w:t>Data Quality Analyst</w:t>
            </w:r>
          </w:p>
        </w:tc>
        <w:tc>
          <w:tcPr>
            <w:tcW w:type="dxa" w:w="2484"/>
          </w:tcPr>
          <w:p>
            <w:r>
              <w:rPr>
                <w:color w:val="5B6472"/>
                <w:sz w:val="17"/>
              </w:rPr>
              <w:t>Senior Engineer, Integration Layer</w:t>
            </w:r>
          </w:p>
        </w:tc>
        <w:tc>
          <w:tcPr>
            <w:tcW w:type="dxa" w:w="2484"/>
          </w:tcPr>
          <w:p>
            <w:r>
              <w:rPr>
                <w:color w:val="5B6472"/>
                <w:sz w:val="17"/>
              </w:rPr>
              <w:t>FinOps Analyst — tagging, showback, reser…</w:t>
            </w:r>
          </w:p>
        </w:tc>
      </w:tr>
      <w:tr>
        <w:tc>
          <w:tcPr>
            <w:tcW w:type="dxa" w:w="2484"/>
          </w:tcPr>
          <w:p>
            <w:r>
              <w:rPr>
                <w:b/>
                <w:color w:val="1B3A6B"/>
                <w:sz w:val="17"/>
              </w:rPr>
              <w:t>E. Nakagawa</w:t>
            </w:r>
          </w:p>
        </w:tc>
        <w:tc>
          <w:tcPr>
            <w:tcW w:type="dxa" w:w="2484"/>
          </w:tcPr>
          <w:p>
            <w:r>
              <w:rPr>
                <w:b/>
                <w:color w:val="1B3A6B"/>
                <w:sz w:val="17"/>
              </w:rPr>
              <w:t>L. Pemberton</w:t>
            </w:r>
          </w:p>
        </w:tc>
        <w:tc>
          <w:tcPr>
            <w:tcW w:type="dxa" w:w="2484"/>
          </w:tcPr>
          <w:p>
            <w:r>
              <w:rPr>
                <w:b/>
                <w:color w:val="1B3A6B"/>
                <w:sz w:val="17"/>
              </w:rPr>
              <w:t>V. Krishnamoorthy</w:t>
            </w:r>
          </w:p>
        </w:tc>
        <w:tc>
          <w:tcPr>
            <w:tcW w:type="dxa" w:w="2484"/>
          </w:tcPr>
          <w:p>
            <w:r>
              <w:rPr>
                <w:sz w:val="17"/>
              </w:rPr>
            </w:r>
          </w:p>
        </w:tc>
      </w:tr>
      <w:tr>
        <w:tc>
          <w:tcPr>
            <w:tcW w:type="dxa" w:w="2484"/>
          </w:tcPr>
          <w:p>
            <w:r>
              <w:rPr>
                <w:color w:val="5B6472"/>
                <w:sz w:val="17"/>
              </w:rPr>
              <w:t>Director, Core Admin Platform, ACME</w:t>
            </w:r>
          </w:p>
        </w:tc>
        <w:tc>
          <w:tcPr>
            <w:tcW w:type="dxa" w:w="2484"/>
          </w:tcPr>
          <w:p>
            <w:r>
              <w:rPr>
                <w:color w:val="5B6472"/>
                <w:sz w:val="17"/>
              </w:rPr>
              <w:t>Data Steward — clerical review queue</w:t>
            </w:r>
          </w:p>
        </w:tc>
        <w:tc>
          <w:tcPr>
            <w:tcW w:type="dxa" w:w="2484"/>
          </w:tcPr>
          <w:p>
            <w:r>
              <w:rPr>
                <w:color w:val="5B6472"/>
                <w:sz w:val="17"/>
              </w:rPr>
              <w:t>Offshore Delivery Manager</w:t>
            </w:r>
          </w:p>
        </w:tc>
        <w:tc>
          <w:tcPr>
            <w:tcW w:type="dxa" w:w="2484"/>
          </w:tcPr>
          <w:p>
            <w:r>
              <w:rPr>
                <w:sz w:val="17"/>
              </w:rPr>
            </w:r>
          </w:p>
        </w:tc>
      </w:tr>
      <w:tr>
        <w:tc>
          <w:tcPr>
            <w:tcW w:type="dxa" w:w="2484"/>
          </w:tcPr>
          <w:p>
            <w:r>
              <w:rPr>
                <w:b/>
                <w:color w:val="1B3A6B"/>
                <w:sz w:val="17"/>
              </w:rPr>
              <w:t>R. Lattimore</w:t>
            </w:r>
          </w:p>
        </w:tc>
        <w:tc>
          <w:tcPr>
            <w:tcW w:type="dxa" w:w="2484"/>
          </w:tcPr>
          <w:p>
            <w:r>
              <w:rPr>
                <w:b/>
                <w:color w:val="1B3A6B"/>
                <w:sz w:val="17"/>
              </w:rPr>
              <w:t>F. Guerrero</w:t>
            </w:r>
          </w:p>
        </w:tc>
        <w:tc>
          <w:tcPr>
            <w:tcW w:type="dxa" w:w="2484"/>
          </w:tcPr>
          <w:p>
            <w:r>
              <w:rPr>
                <w:b/>
                <w:color w:val="1B3A6B"/>
                <w:sz w:val="17"/>
              </w:rPr>
              <w:t>P. Devarakonda</w:t>
            </w:r>
          </w:p>
        </w:tc>
        <w:tc>
          <w:tcPr>
            <w:tcW w:type="dxa" w:w="2484"/>
          </w:tcPr>
          <w:p>
            <w:r>
              <w:rPr>
                <w:sz w:val="17"/>
              </w:rPr>
            </w:r>
          </w:p>
        </w:tc>
      </w:tr>
      <w:tr>
        <w:tc>
          <w:tcPr>
            <w:tcW w:type="dxa" w:w="2484"/>
          </w:tcPr>
          <w:p>
            <w:r>
              <w:rPr>
                <w:color w:val="5B6472"/>
                <w:sz w:val="17"/>
              </w:rPr>
              <w:t>VP Claims, Cumberland Valley — Counterpart</w:t>
            </w:r>
          </w:p>
        </w:tc>
        <w:tc>
          <w:tcPr>
            <w:tcW w:type="dxa" w:w="2484"/>
          </w:tcPr>
          <w:p>
            <w:r>
              <w:rPr>
                <w:color w:val="5B6472"/>
                <w:sz w:val="17"/>
              </w:rPr>
              <w:t>Data Steward — clerical review queue</w:t>
            </w:r>
          </w:p>
        </w:tc>
        <w:tc>
          <w:tcPr>
            <w:tcW w:type="dxa" w:w="2484"/>
          </w:tcPr>
          <w:p>
            <w:r>
              <w:rPr>
                <w:color w:val="5B6472"/>
                <w:sz w:val="17"/>
              </w:rPr>
              <w:t>Test Lead, Integration</w:t>
            </w:r>
          </w:p>
        </w:tc>
        <w:tc>
          <w:tcPr>
            <w:tcW w:type="dxa" w:w="2484"/>
          </w:tcPr>
          <w:p>
            <w:r>
              <w:rPr>
                <w:sz w:val="17"/>
              </w:rPr>
            </w:r>
          </w:p>
        </w:tc>
      </w:tr>
      <w:tr>
        <w:tc>
          <w:tcPr>
            <w:tcW w:type="dxa" w:w="2484"/>
          </w:tcPr>
          <w:p>
            <w:r>
              <w:rPr>
                <w:b/>
                <w:color w:val="1B3A6B"/>
                <w:sz w:val="17"/>
              </w:rPr>
              <w:t>D. Okpara</w:t>
            </w:r>
          </w:p>
        </w:tc>
        <w:tc>
          <w:tcPr>
            <w:tcW w:type="dxa" w:w="2484"/>
          </w:tcPr>
          <w:p>
            <w:r>
              <w:rPr>
                <w:b/>
                <w:color w:val="1B3A6B"/>
                <w:sz w:val="17"/>
              </w:rPr>
              <w:t>N. Ojukwu</w:t>
            </w:r>
          </w:p>
        </w:tc>
        <w:tc>
          <w:tcPr>
            <w:tcW w:type="dxa" w:w="2484"/>
          </w:tcPr>
          <w:p>
            <w:r>
              <w:rPr>
                <w:b/>
                <w:color w:val="1B3A6B"/>
                <w:sz w:val="17"/>
              </w:rPr>
              <w:t>S. Mahadevan</w:t>
            </w:r>
          </w:p>
        </w:tc>
        <w:tc>
          <w:tcPr>
            <w:tcW w:type="dxa" w:w="2484"/>
          </w:tcPr>
          <w:p>
            <w:r>
              <w:rPr>
                <w:sz w:val="17"/>
              </w:rPr>
            </w:r>
          </w:p>
        </w:tc>
      </w:tr>
      <w:tr>
        <w:tc>
          <w:tcPr>
            <w:tcW w:type="dxa" w:w="2484"/>
          </w:tcPr>
          <w:p>
            <w:r>
              <w:rPr>
                <w:color w:val="5B6472"/>
                <w:sz w:val="17"/>
              </w:rPr>
              <w:t>Manager, Claims Configuration, Cumberland…</w:t>
            </w:r>
          </w:p>
        </w:tc>
        <w:tc>
          <w:tcPr>
            <w:tcW w:type="dxa" w:w="2484"/>
          </w:tcPr>
          <w:p>
            <w:r>
              <w:rPr>
                <w:color w:val="5B6472"/>
                <w:sz w:val="17"/>
              </w:rPr>
              <w:t>Data Steward — clerical review queue</w:t>
            </w:r>
          </w:p>
        </w:tc>
        <w:tc>
          <w:tcPr>
            <w:tcW w:type="dxa" w:w="2484"/>
          </w:tcPr>
          <w:p>
            <w:r>
              <w:rPr>
                <w:color w:val="5B6472"/>
                <w:sz w:val="17"/>
              </w:rPr>
              <w:t>QA Engineer, Interface Regression</w:t>
            </w:r>
          </w:p>
        </w:tc>
        <w:tc>
          <w:tcPr>
            <w:tcW w:type="dxa" w:w="2484"/>
          </w:tcPr>
          <w:p>
            <w:r>
              <w:rPr>
                <w:sz w:val="17"/>
              </w:rPr>
            </w:r>
          </w:p>
        </w:tc>
      </w:tr>
      <w:tr>
        <w:tc>
          <w:tcPr>
            <w:tcW w:type="dxa" w:w="2484"/>
          </w:tcPr>
          <w:p>
            <w:r>
              <w:rPr>
                <w:b/>
                <w:color w:val="1B3A6B"/>
                <w:sz w:val="17"/>
              </w:rPr>
              <w:t>V. Castellanos</w:t>
            </w:r>
          </w:p>
        </w:tc>
        <w:tc>
          <w:tcPr>
            <w:tcW w:type="dxa" w:w="2484"/>
          </w:tcPr>
          <w:p>
            <w:r>
              <w:rPr>
                <w:b/>
                <w:color w:val="1B3A6B"/>
                <w:sz w:val="17"/>
              </w:rPr>
              <w:t>T. Vandiver</w:t>
            </w:r>
          </w:p>
        </w:tc>
        <w:tc>
          <w:tcPr>
            <w:tcW w:type="dxa" w:w="2484"/>
          </w:tcPr>
          <w:p>
            <w:r>
              <w:rPr>
                <w:b/>
                <w:color w:val="1B3A6B"/>
                <w:sz w:val="17"/>
              </w:rPr>
              <w:t>A. Vaidyanathan</w:t>
            </w:r>
          </w:p>
        </w:tc>
        <w:tc>
          <w:tcPr>
            <w:tcW w:type="dxa" w:w="2484"/>
          </w:tcPr>
          <w:p>
            <w:r>
              <w:rPr>
                <w:sz w:val="17"/>
              </w:rPr>
            </w:r>
          </w:p>
        </w:tc>
      </w:tr>
      <w:tr>
        <w:tc>
          <w:tcPr>
            <w:tcW w:type="dxa" w:w="2484"/>
          </w:tcPr>
          <w:p>
            <w:r>
              <w:rPr>
                <w:color w:val="5B6472"/>
                <w:sz w:val="17"/>
              </w:rPr>
              <w:t>Principal Consultant, Core Admin Migration</w:t>
            </w:r>
          </w:p>
        </w:tc>
        <w:tc>
          <w:tcPr>
            <w:tcW w:type="dxa" w:w="2484"/>
          </w:tcPr>
          <w:p>
            <w:r>
              <w:rPr>
                <w:color w:val="5B6472"/>
                <w:sz w:val="17"/>
              </w:rPr>
              <w:t>Data Steward Supervisor — SLA owner</w:t>
            </w:r>
          </w:p>
        </w:tc>
        <w:tc>
          <w:tcPr>
            <w:tcW w:type="dxa" w:w="2484"/>
          </w:tcPr>
          <w:p>
            <w:r>
              <w:rPr>
                <w:color w:val="5B6472"/>
                <w:sz w:val="17"/>
              </w:rPr>
              <w:t>QA Engineer, Interface Regression</w:t>
            </w:r>
          </w:p>
        </w:tc>
        <w:tc>
          <w:tcPr>
            <w:tcW w:type="dxa" w:w="2484"/>
          </w:tcPr>
          <w:p>
            <w:r>
              <w:rPr>
                <w:sz w:val="17"/>
              </w:rPr>
            </w:r>
          </w:p>
        </w:tc>
      </w:tr>
    </w:tbl>
    <w:p/>
    <w:p>
      <w:pPr>
        <w:spacing w:before="360" w:after="120"/>
      </w:pPr>
      <w:r>
        <w:rPr>
          <w:b/>
          <w:color w:val="1B3A6B"/>
          <w:sz w:val="28"/>
        </w:rPr>
        <w:t>Page 3 — Business Operations</w:t>
      </w:r>
    </w:p>
    <w:p>
      <w:pPr>
        <w:spacing w:after="160"/>
      </w:pPr>
      <w:r>
        <w:rPr>
          <w:i w:val="0"/>
          <w:sz w:val="20"/>
        </w:rPr>
        <w:t>Member, provider and clinical functions — small teams, and every one of them paired across both companies.</w:t>
      </w:r>
    </w:p>
    <w:p>
      <w:pPr>
        <w:spacing w:before="320" w:after="120"/>
      </w:pPr>
      <w:r>
        <w:rPr>
          <w:b/>
          <w:color w:val="2B5C8A"/>
          <w:sz w:val="22"/>
        </w:rPr>
        <w:t>Diagram 3</w:t>
      </w:r>
    </w:p>
    <w:tbl>
      <w:tblPr>
        <w:tblStyle w:val="TableGrid"/>
        <w:tblW w:type="auto" w:w="0"/>
        <w:jc w:val="center"/>
        <w:tblLook w:firstColumn="1" w:firstRow="1" w:lastColumn="0" w:lastRow="0" w:noHBand="0" w:noVBand="1" w:val="04A0"/>
      </w:tblPr>
      <w:tblGrid>
        <w:gridCol w:w="2484"/>
        <w:gridCol w:w="2484"/>
        <w:gridCol w:w="2484"/>
        <w:gridCol w:w="2484"/>
      </w:tblGrid>
      <w:tr>
        <w:tc>
          <w:tcPr>
            <w:tcW w:type="dxa" w:w="2484"/>
          </w:tcPr>
          <w:p>
            <w:r>
              <w:rPr>
                <w:color w:val="5B6472"/>
                <w:sz w:val="17"/>
              </w:rPr>
              <w:t>Provider Network</w:t>
            </w:r>
          </w:p>
        </w:tc>
        <w:tc>
          <w:tcPr>
            <w:tcW w:type="dxa" w:w="2484"/>
          </w:tcPr>
          <w:p>
            <w:r>
              <w:rPr>
                <w:color w:val="5B6472"/>
                <w:sz w:val="17"/>
              </w:rPr>
              <w:t>Care Management</w:t>
            </w:r>
          </w:p>
        </w:tc>
        <w:tc>
          <w:tcPr>
            <w:tcW w:type="dxa" w:w="2484"/>
          </w:tcPr>
          <w:p>
            <w:r>
              <w:rPr>
                <w:color w:val="5B6472"/>
                <w:sz w:val="17"/>
              </w:rPr>
              <w:t>Member Services</w:t>
            </w:r>
          </w:p>
        </w:tc>
        <w:tc>
          <w:tcPr>
            <w:tcW w:type="dxa" w:w="2484"/>
          </w:tcPr>
          <w:p>
            <w:r>
              <w:rPr>
                <w:color w:val="5B6472"/>
                <w:sz w:val="17"/>
              </w:rPr>
              <w:t>Actuarial &amp; Underwriting</w:t>
            </w:r>
          </w:p>
        </w:tc>
      </w:tr>
      <w:tr>
        <w:tc>
          <w:tcPr>
            <w:tcW w:type="dxa" w:w="2484"/>
          </w:tcPr>
          <w:p>
            <w:r>
              <w:rPr>
                <w:sz w:val="17"/>
              </w:rPr>
              <w:t>2 people</w:t>
            </w:r>
          </w:p>
        </w:tc>
        <w:tc>
          <w:tcPr>
            <w:tcW w:type="dxa" w:w="2484"/>
          </w:tcPr>
          <w:p>
            <w:r>
              <w:rPr>
                <w:sz w:val="17"/>
              </w:rPr>
              <w:t>2 people</w:t>
            </w:r>
          </w:p>
        </w:tc>
        <w:tc>
          <w:tcPr>
            <w:tcW w:type="dxa" w:w="2484"/>
          </w:tcPr>
          <w:p>
            <w:r>
              <w:rPr>
                <w:sz w:val="17"/>
              </w:rPr>
              <w:t>2 people</w:t>
            </w:r>
          </w:p>
        </w:tc>
        <w:tc>
          <w:tcPr>
            <w:tcW w:type="dxa" w:w="2484"/>
          </w:tcPr>
          <w:p>
            <w:r>
              <w:rPr>
                <w:sz w:val="17"/>
              </w:rPr>
              <w:t>2 people</w:t>
            </w:r>
          </w:p>
        </w:tc>
      </w:tr>
      <w:tr>
        <w:tc>
          <w:tcPr>
            <w:tcW w:type="dxa" w:w="2484"/>
          </w:tcPr>
          <w:p>
            <w:r>
              <w:rPr>
                <w:b/>
                <w:color w:val="1B3A6B"/>
                <w:sz w:val="17"/>
              </w:rPr>
              <w:t>J. Kirkendall</w:t>
            </w:r>
          </w:p>
        </w:tc>
        <w:tc>
          <w:tcPr>
            <w:tcW w:type="dxa" w:w="2484"/>
          </w:tcPr>
          <w:p>
            <w:r>
              <w:rPr>
                <w:b/>
                <w:color w:val="1B3A6B"/>
                <w:sz w:val="17"/>
              </w:rPr>
              <w:t>Dr. M. Ellsworth</w:t>
            </w:r>
          </w:p>
        </w:tc>
        <w:tc>
          <w:tcPr>
            <w:tcW w:type="dxa" w:w="2484"/>
          </w:tcPr>
          <w:p>
            <w:r>
              <w:rPr>
                <w:b/>
                <w:color w:val="1B3A6B"/>
                <w:sz w:val="17"/>
              </w:rPr>
              <w:t>T. Ruffalo</w:t>
            </w:r>
          </w:p>
        </w:tc>
        <w:tc>
          <w:tcPr>
            <w:tcW w:type="dxa" w:w="2484"/>
          </w:tcPr>
          <w:p>
            <w:r>
              <w:rPr>
                <w:b/>
                <w:color w:val="1B3A6B"/>
                <w:sz w:val="17"/>
              </w:rPr>
              <w:t>E. Wetherby</w:t>
            </w:r>
          </w:p>
        </w:tc>
      </w:tr>
      <w:tr>
        <w:tc>
          <w:tcPr>
            <w:tcW w:type="dxa" w:w="2484"/>
          </w:tcPr>
          <w:p>
            <w:r>
              <w:rPr>
                <w:color w:val="5B6472"/>
                <w:sz w:val="17"/>
              </w:rPr>
              <w:t>VP Network Management, ACME — Workstream …</w:t>
            </w:r>
          </w:p>
        </w:tc>
        <w:tc>
          <w:tcPr>
            <w:tcW w:type="dxa" w:w="2484"/>
          </w:tcPr>
          <w:p>
            <w:r>
              <w:rPr>
                <w:color w:val="5B6472"/>
                <w:sz w:val="17"/>
              </w:rPr>
              <w:t>Chief Medical Officer, ACME — Workstream …</w:t>
            </w:r>
          </w:p>
        </w:tc>
        <w:tc>
          <w:tcPr>
            <w:tcW w:type="dxa" w:w="2484"/>
          </w:tcPr>
          <w:p>
            <w:r>
              <w:rPr>
                <w:color w:val="5B6472"/>
                <w:sz w:val="17"/>
              </w:rPr>
              <w:t>VP Member Experience, ACME — Workstream L…</w:t>
            </w:r>
          </w:p>
        </w:tc>
        <w:tc>
          <w:tcPr>
            <w:tcW w:type="dxa" w:w="2484"/>
          </w:tcPr>
          <w:p>
            <w:r>
              <w:rPr>
                <w:color w:val="5B6472"/>
                <w:sz w:val="17"/>
              </w:rPr>
              <w:t>VP Actuarial Services, ACME — Workstream …</w:t>
            </w:r>
          </w:p>
        </w:tc>
      </w:tr>
      <w:tr>
        <w:tc>
          <w:tcPr>
            <w:tcW w:type="dxa" w:w="2484"/>
          </w:tcPr>
          <w:p>
            <w:r>
              <w:rPr>
                <w:b/>
                <w:color w:val="1B3A6B"/>
                <w:sz w:val="17"/>
              </w:rPr>
              <w:t>A. Boudreaux</w:t>
            </w:r>
          </w:p>
        </w:tc>
        <w:tc>
          <w:tcPr>
            <w:tcW w:type="dxa" w:w="2484"/>
          </w:tcPr>
          <w:p>
            <w:r>
              <w:rPr>
                <w:b/>
                <w:color w:val="1B3A6B"/>
                <w:sz w:val="17"/>
              </w:rPr>
              <w:t>Dr. P. Nwachukwu</w:t>
            </w:r>
          </w:p>
        </w:tc>
        <w:tc>
          <w:tcPr>
            <w:tcW w:type="dxa" w:w="2484"/>
          </w:tcPr>
          <w:p>
            <w:r>
              <w:rPr>
                <w:b/>
                <w:color w:val="1B3A6B"/>
                <w:sz w:val="17"/>
              </w:rPr>
              <w:t>C. Hollifield</w:t>
            </w:r>
          </w:p>
        </w:tc>
        <w:tc>
          <w:tcPr>
            <w:tcW w:type="dxa" w:w="2484"/>
          </w:tcPr>
          <w:p>
            <w:r>
              <w:rPr>
                <w:b/>
                <w:color w:val="1B3A6B"/>
                <w:sz w:val="17"/>
              </w:rPr>
              <w:t>C. Adeyemi</w:t>
            </w:r>
          </w:p>
        </w:tc>
      </w:tr>
      <w:tr>
        <w:tc>
          <w:tcPr>
            <w:tcW w:type="dxa" w:w="2484"/>
          </w:tcPr>
          <w:p>
            <w:r>
              <w:rPr>
                <w:color w:val="5B6472"/>
                <w:sz w:val="17"/>
              </w:rPr>
              <w:t>Director, Provider Contracting, Cumberlan…</w:t>
            </w:r>
          </w:p>
        </w:tc>
        <w:tc>
          <w:tcPr>
            <w:tcW w:type="dxa" w:w="2484"/>
          </w:tcPr>
          <w:p>
            <w:r>
              <w:rPr>
                <w:color w:val="5B6472"/>
                <w:sz w:val="17"/>
              </w:rPr>
              <w:t>VP Care Management, Cumberland Valley</w:t>
            </w:r>
          </w:p>
        </w:tc>
        <w:tc>
          <w:tcPr>
            <w:tcW w:type="dxa" w:w="2484"/>
          </w:tcPr>
          <w:p>
            <w:r>
              <w:rPr>
                <w:color w:val="5B6472"/>
                <w:sz w:val="17"/>
              </w:rPr>
              <w:t>Director, Member Services, Cumberland Val…</w:t>
            </w:r>
          </w:p>
        </w:tc>
        <w:tc>
          <w:tcPr>
            <w:tcW w:type="dxa" w:w="2484"/>
          </w:tcPr>
          <w:p>
            <w:r>
              <w:rPr>
                <w:color w:val="5B6472"/>
                <w:sz w:val="17"/>
              </w:rPr>
              <w:t>Chief Actuary, Cumberland Valley</w:t>
            </w:r>
          </w:p>
        </w:tc>
      </w:tr>
    </w:tbl>
    <w:p/>
    <w:p>
      <w:pPr>
        <w:spacing w:before="360" w:after="120"/>
      </w:pPr>
      <w:r>
        <w:rPr>
          <w:b/>
          <w:color w:val="1B3A6B"/>
          <w:sz w:val="28"/>
        </w:rPr>
        <w:t>Page 4 — Corporate and Control</w:t>
      </w:r>
    </w:p>
    <w:p>
      <w:pPr>
        <w:spacing w:after="160"/>
      </w:pPr>
      <w:r>
        <w:rPr>
          <w:i w:val="0"/>
          <w:sz w:val="20"/>
        </w:rPr>
        <w:t>Finance, legal, risk and the assurance vendors.</w:t>
      </w:r>
    </w:p>
    <w:p>
      <w:pPr>
        <w:spacing w:before="320" w:after="120"/>
      </w:pPr>
      <w:r>
        <w:rPr>
          <w:b/>
          <w:color w:val="2B5C8A"/>
          <w:sz w:val="22"/>
        </w:rPr>
        <w:t>Diagram 4</w:t>
      </w:r>
    </w:p>
    <w:tbl>
      <w:tblPr>
        <w:tblStyle w:val="TableGrid"/>
        <w:tblW w:type="auto" w:w="0"/>
        <w:jc w:val="center"/>
        <w:tblLook w:firstColumn="1" w:firstRow="1" w:lastColumn="0" w:lastRow="0" w:noHBand="0" w:noVBand="1" w:val="04A0"/>
      </w:tblPr>
      <w:tblGrid>
        <w:gridCol w:w="2484"/>
        <w:gridCol w:w="2484"/>
        <w:gridCol w:w="2484"/>
        <w:gridCol w:w="2484"/>
      </w:tblGrid>
      <w:tr>
        <w:tc>
          <w:tcPr>
            <w:tcW w:type="dxa" w:w="2484"/>
          </w:tcPr>
          <w:p>
            <w:r>
              <w:rPr>
                <w:color w:val="5B6472"/>
                <w:sz w:val="17"/>
              </w:rPr>
              <w:t>Finance &amp; Accounting</w:t>
            </w:r>
          </w:p>
        </w:tc>
        <w:tc>
          <w:tcPr>
            <w:tcW w:type="dxa" w:w="2484"/>
          </w:tcPr>
          <w:p>
            <w:r>
              <w:rPr>
                <w:color w:val="5B6472"/>
                <w:sz w:val="17"/>
              </w:rPr>
              <w:t>HR &amp; Talent</w:t>
            </w:r>
          </w:p>
        </w:tc>
        <w:tc>
          <w:tcPr>
            <w:tcW w:type="dxa" w:w="2484"/>
          </w:tcPr>
          <w:p>
            <w:r>
              <w:rPr>
                <w:color w:val="5B6472"/>
                <w:sz w:val="17"/>
              </w:rPr>
              <w:t>Legal &amp; Regulatory</w:t>
            </w:r>
          </w:p>
        </w:tc>
        <w:tc>
          <w:tcPr>
            <w:tcW w:type="dxa" w:w="2484"/>
          </w:tcPr>
          <w:p>
            <w:r>
              <w:rPr>
                <w:color w:val="5B6472"/>
                <w:sz w:val="17"/>
              </w:rPr>
              <w:t>Compliance &amp; Privacy</w:t>
            </w:r>
          </w:p>
        </w:tc>
      </w:tr>
      <w:tr>
        <w:tc>
          <w:tcPr>
            <w:tcW w:type="dxa" w:w="2484"/>
          </w:tcPr>
          <w:p>
            <w:r>
              <w:rPr>
                <w:sz w:val="17"/>
              </w:rPr>
              <w:t>2 people</w:t>
            </w:r>
          </w:p>
        </w:tc>
        <w:tc>
          <w:tcPr>
            <w:tcW w:type="dxa" w:w="2484"/>
          </w:tcPr>
          <w:p>
            <w:r>
              <w:rPr>
                <w:sz w:val="17"/>
              </w:rPr>
              <w:t>2 people</w:t>
            </w:r>
          </w:p>
        </w:tc>
        <w:tc>
          <w:tcPr>
            <w:tcW w:type="dxa" w:w="2484"/>
          </w:tcPr>
          <w:p>
            <w:r>
              <w:rPr>
                <w:sz w:val="17"/>
              </w:rPr>
              <w:t>3 people</w:t>
            </w:r>
          </w:p>
        </w:tc>
        <w:tc>
          <w:tcPr>
            <w:tcW w:type="dxa" w:w="2484"/>
          </w:tcPr>
          <w:p>
            <w:r>
              <w:rPr>
                <w:sz w:val="17"/>
              </w:rPr>
              <w:t>2 people</w:t>
            </w:r>
          </w:p>
        </w:tc>
      </w:tr>
      <w:tr>
        <w:tc>
          <w:tcPr>
            <w:tcW w:type="dxa" w:w="2484"/>
          </w:tcPr>
          <w:p>
            <w:r>
              <w:rPr>
                <w:b/>
                <w:color w:val="1B3A6B"/>
                <w:sz w:val="17"/>
              </w:rPr>
              <w:t>S. Beauregard</w:t>
            </w:r>
          </w:p>
        </w:tc>
        <w:tc>
          <w:tcPr>
            <w:tcW w:type="dxa" w:w="2484"/>
          </w:tcPr>
          <w:p>
            <w:r>
              <w:rPr>
                <w:b/>
                <w:color w:val="1B3A6B"/>
                <w:sz w:val="17"/>
              </w:rPr>
              <w:t>D. Marchbanks</w:t>
            </w:r>
          </w:p>
        </w:tc>
        <w:tc>
          <w:tcPr>
            <w:tcW w:type="dxa" w:w="2484"/>
          </w:tcPr>
          <w:p>
            <w:r>
              <w:rPr>
                <w:b/>
                <w:color w:val="1B3A6B"/>
                <w:sz w:val="17"/>
              </w:rPr>
              <w:t>F. Underhill</w:t>
            </w:r>
          </w:p>
        </w:tc>
        <w:tc>
          <w:tcPr>
            <w:tcW w:type="dxa" w:w="2484"/>
          </w:tcPr>
          <w:p>
            <w:r>
              <w:rPr>
                <w:b/>
                <w:color w:val="1B3A6B"/>
                <w:sz w:val="17"/>
              </w:rPr>
              <w:t>L. Braithwaite</w:t>
            </w:r>
          </w:p>
        </w:tc>
      </w:tr>
      <w:tr>
        <w:tc>
          <w:tcPr>
            <w:tcW w:type="dxa" w:w="2484"/>
          </w:tcPr>
          <w:p>
            <w:r>
              <w:rPr>
                <w:color w:val="5B6472"/>
                <w:sz w:val="17"/>
              </w:rPr>
              <w:t>VP Financial Planning &amp; Analysis, ACME — …</w:t>
            </w:r>
          </w:p>
        </w:tc>
        <w:tc>
          <w:tcPr>
            <w:tcW w:type="dxa" w:w="2484"/>
          </w:tcPr>
          <w:p>
            <w:r>
              <w:rPr>
                <w:color w:val="5B6472"/>
                <w:sz w:val="17"/>
              </w:rPr>
              <w:t>SVP Human Resources, ACME — Workstream Le…</w:t>
            </w:r>
          </w:p>
        </w:tc>
        <w:tc>
          <w:tcPr>
            <w:tcW w:type="dxa" w:w="2484"/>
          </w:tcPr>
          <w:p>
            <w:r>
              <w:rPr>
                <w:color w:val="5B6472"/>
                <w:sz w:val="17"/>
              </w:rPr>
              <w:t>Associate General Counsel, M&amp;A, ACME — Wo…</w:t>
            </w:r>
          </w:p>
        </w:tc>
        <w:tc>
          <w:tcPr>
            <w:tcW w:type="dxa" w:w="2484"/>
          </w:tcPr>
          <w:p>
            <w:r>
              <w:rPr>
                <w:color w:val="5B6472"/>
                <w:sz w:val="17"/>
              </w:rPr>
              <w:t>Chief Privacy Officer, ACME — Workstream …</w:t>
            </w:r>
          </w:p>
        </w:tc>
      </w:tr>
      <w:tr>
        <w:tc>
          <w:tcPr>
            <w:tcW w:type="dxa" w:w="2484"/>
          </w:tcPr>
          <w:p>
            <w:r>
              <w:rPr>
                <w:b/>
                <w:color w:val="1B3A6B"/>
                <w:sz w:val="17"/>
              </w:rPr>
              <w:t>N. Applewhite</w:t>
            </w:r>
          </w:p>
        </w:tc>
        <w:tc>
          <w:tcPr>
            <w:tcW w:type="dxa" w:w="2484"/>
          </w:tcPr>
          <w:p>
            <w:r>
              <w:rPr>
                <w:b/>
                <w:color w:val="1B3A6B"/>
                <w:sz w:val="17"/>
              </w:rPr>
              <w:t>K. Osterhout</w:t>
            </w:r>
          </w:p>
        </w:tc>
        <w:tc>
          <w:tcPr>
            <w:tcW w:type="dxa" w:w="2484"/>
          </w:tcPr>
          <w:p>
            <w:r>
              <w:rPr>
                <w:b/>
                <w:color w:val="1B3A6B"/>
                <w:sz w:val="17"/>
              </w:rPr>
              <w:t>M. Sheffield</w:t>
            </w:r>
          </w:p>
        </w:tc>
        <w:tc>
          <w:tcPr>
            <w:tcW w:type="dxa" w:w="2484"/>
          </w:tcPr>
          <w:p>
            <w:r>
              <w:rPr>
                <w:b/>
                <w:color w:val="1B3A6B"/>
                <w:sz w:val="17"/>
              </w:rPr>
              <w:t>J. Ferrandino</w:t>
            </w:r>
          </w:p>
        </w:tc>
      </w:tr>
      <w:tr>
        <w:tc>
          <w:tcPr>
            <w:tcW w:type="dxa" w:w="2484"/>
          </w:tcPr>
          <w:p>
            <w:r>
              <w:rPr>
                <w:color w:val="5B6472"/>
                <w:sz w:val="17"/>
              </w:rPr>
              <w:t>Controller, Cumberland Valley</w:t>
            </w:r>
          </w:p>
        </w:tc>
        <w:tc>
          <w:tcPr>
            <w:tcW w:type="dxa" w:w="2484"/>
          </w:tcPr>
          <w:p>
            <w:r>
              <w:rPr>
                <w:color w:val="5B6472"/>
                <w:sz w:val="17"/>
              </w:rPr>
              <w:t>Director, HR Business Partner, Cumberland…</w:t>
            </w:r>
          </w:p>
        </w:tc>
        <w:tc>
          <w:tcPr>
            <w:tcW w:type="dxa" w:w="2484"/>
          </w:tcPr>
          <w:p>
            <w:r>
              <w:rPr>
                <w:color w:val="5B6472"/>
                <w:sz w:val="17"/>
              </w:rPr>
              <w:t>General Counsel, Cumberland Valley</w:t>
            </w:r>
          </w:p>
        </w:tc>
        <w:tc>
          <w:tcPr>
            <w:tcW w:type="dxa" w:w="2484"/>
          </w:tcPr>
          <w:p>
            <w:r>
              <w:rPr>
                <w:color w:val="5B6472"/>
                <w:sz w:val="17"/>
              </w:rPr>
              <w:t>Compliance Director, Cumberland Valley</w:t>
            </w:r>
          </w:p>
        </w:tc>
      </w:tr>
      <w:tr>
        <w:tc>
          <w:tcPr>
            <w:tcW w:type="dxa" w:w="2484"/>
          </w:tcPr>
          <w:p>
            <w:r>
              <w:rPr>
                <w:sz w:val="17"/>
              </w:rPr>
            </w:r>
          </w:p>
        </w:tc>
        <w:tc>
          <w:tcPr>
            <w:tcW w:type="dxa" w:w="2484"/>
          </w:tcPr>
          <w:p>
            <w:r>
              <w:rPr>
                <w:sz w:val="17"/>
              </w:rPr>
            </w:r>
          </w:p>
        </w:tc>
        <w:tc>
          <w:tcPr>
            <w:tcW w:type="dxa" w:w="2484"/>
          </w:tcPr>
          <w:p>
            <w:r>
              <w:rPr>
                <w:b/>
                <w:color w:val="1B3A6B"/>
                <w:sz w:val="17"/>
              </w:rPr>
              <w:t>R. Cadwallader</w:t>
            </w:r>
          </w:p>
        </w:tc>
        <w:tc>
          <w:tcPr>
            <w:tcW w:type="dxa" w:w="2484"/>
          </w:tcPr>
          <w:p>
            <w:r>
              <w:rPr>
                <w:sz w:val="17"/>
              </w:rPr>
            </w:r>
          </w:p>
        </w:tc>
      </w:tr>
      <w:tr>
        <w:tc>
          <w:tcPr>
            <w:tcW w:type="dxa" w:w="2484"/>
          </w:tcPr>
          <w:p>
            <w:r>
              <w:rPr>
                <w:sz w:val="17"/>
              </w:rPr>
            </w:r>
          </w:p>
        </w:tc>
        <w:tc>
          <w:tcPr>
            <w:tcW w:type="dxa" w:w="2484"/>
          </w:tcPr>
          <w:p>
            <w:r>
              <w:rPr>
                <w:sz w:val="17"/>
              </w:rPr>
            </w:r>
          </w:p>
        </w:tc>
        <w:tc>
          <w:tcPr>
            <w:tcW w:type="dxa" w:w="2484"/>
          </w:tcPr>
          <w:p>
            <w:r>
              <w:rPr>
                <w:color w:val="5B6472"/>
                <w:sz w:val="17"/>
              </w:rPr>
              <w:t>Director, Regulatory Affairs, ACME — DOI …</w:t>
            </w:r>
          </w:p>
        </w:tc>
        <w:tc>
          <w:tcPr>
            <w:tcW w:type="dxa" w:w="2484"/>
          </w:tcPr>
          <w:p>
            <w:r>
              <w:rPr>
                <w:sz w:val="17"/>
              </w:rPr>
            </w:r>
          </w:p>
        </w:tc>
      </w:tr>
      <w:tr>
        <w:tc>
          <w:tcPr>
            <w:tcW w:type="dxa" w:w="2484"/>
          </w:tcPr>
          <w:p>
            <w:r>
              <w:rPr>
                <w:color w:val="5B6472"/>
                <w:sz w:val="17"/>
              </w:rPr>
              <w:t>Security</w:t>
            </w:r>
          </w:p>
        </w:tc>
        <w:tc>
          <w:tcPr>
            <w:tcW w:type="dxa" w:w="2484"/>
          </w:tcPr>
          <w:p>
            <w:r>
              <w:rPr>
                <w:color w:val="5B6472"/>
                <w:sz w:val="17"/>
              </w:rPr>
              <w:t>Communications</w:t>
            </w:r>
          </w:p>
        </w:tc>
        <w:tc>
          <w:tcPr>
            <w:tcW w:type="dxa" w:w="2484"/>
          </w:tcPr>
          <w:p>
            <w:r>
              <w:rPr>
                <w:color w:val="5B6472"/>
                <w:sz w:val="17"/>
              </w:rPr>
              <w:t>Vendor &amp; Contract Management</w:t>
            </w:r>
          </w:p>
        </w:tc>
        <w:tc>
          <w:tcPr>
            <w:tcW w:type="dxa" w:w="2484"/>
          </w:tcPr>
          <w:p>
            <w:r>
              <w:rPr>
                <w:color w:val="5B6472"/>
                <w:sz w:val="17"/>
              </w:rPr>
              <w:t>Facilities</w:t>
            </w:r>
          </w:p>
        </w:tc>
      </w:tr>
      <w:tr>
        <w:tc>
          <w:tcPr>
            <w:tcW w:type="dxa" w:w="2484"/>
          </w:tcPr>
          <w:p>
            <w:r>
              <w:rPr>
                <w:sz w:val="17"/>
              </w:rPr>
              <w:t>2 people</w:t>
            </w:r>
          </w:p>
        </w:tc>
        <w:tc>
          <w:tcPr>
            <w:tcW w:type="dxa" w:w="2484"/>
          </w:tcPr>
          <w:p>
            <w:r>
              <w:rPr>
                <w:sz w:val="17"/>
              </w:rPr>
              <w:t>2 people</w:t>
            </w:r>
          </w:p>
        </w:tc>
        <w:tc>
          <w:tcPr>
            <w:tcW w:type="dxa" w:w="2484"/>
          </w:tcPr>
          <w:p>
            <w:r>
              <w:rPr>
                <w:sz w:val="17"/>
              </w:rPr>
              <w:t>3 people</w:t>
            </w:r>
          </w:p>
        </w:tc>
        <w:tc>
          <w:tcPr>
            <w:tcW w:type="dxa" w:w="2484"/>
          </w:tcPr>
          <w:p>
            <w:r>
              <w:rPr>
                <w:sz w:val="17"/>
              </w:rPr>
              <w:t>2 people</w:t>
            </w:r>
          </w:p>
        </w:tc>
      </w:tr>
      <w:tr>
        <w:tc>
          <w:tcPr>
            <w:tcW w:type="dxa" w:w="2484"/>
          </w:tcPr>
          <w:p>
            <w:r>
              <w:rPr>
                <w:b/>
                <w:color w:val="1B3A6B"/>
                <w:sz w:val="17"/>
              </w:rPr>
              <w:t>A. Quintanilla</w:t>
            </w:r>
          </w:p>
        </w:tc>
        <w:tc>
          <w:tcPr>
            <w:tcW w:type="dxa" w:w="2484"/>
          </w:tcPr>
          <w:p>
            <w:r>
              <w:rPr>
                <w:b/>
                <w:color w:val="1B3A6B"/>
                <w:sz w:val="17"/>
              </w:rPr>
              <w:t>B. Lundquist</w:t>
            </w:r>
          </w:p>
        </w:tc>
        <w:tc>
          <w:tcPr>
            <w:tcW w:type="dxa" w:w="2484"/>
          </w:tcPr>
          <w:p>
            <w:r>
              <w:rPr>
                <w:b/>
                <w:color w:val="1B3A6B"/>
                <w:sz w:val="17"/>
              </w:rPr>
              <w:t>H. Castellow</w:t>
            </w:r>
          </w:p>
        </w:tc>
        <w:tc>
          <w:tcPr>
            <w:tcW w:type="dxa" w:w="2484"/>
          </w:tcPr>
          <w:p>
            <w:r>
              <w:rPr>
                <w:b/>
                <w:color w:val="1B3A6B"/>
                <w:sz w:val="17"/>
              </w:rPr>
              <w:t>W. Pickering</w:t>
            </w:r>
          </w:p>
        </w:tc>
      </w:tr>
      <w:tr>
        <w:tc>
          <w:tcPr>
            <w:tcW w:type="dxa" w:w="2484"/>
          </w:tcPr>
          <w:p>
            <w:r>
              <w:rPr>
                <w:color w:val="5B6472"/>
                <w:sz w:val="17"/>
              </w:rPr>
              <w:t>Chief Information Security Officer, ACME …</w:t>
            </w:r>
          </w:p>
        </w:tc>
        <w:tc>
          <w:tcPr>
            <w:tcW w:type="dxa" w:w="2484"/>
          </w:tcPr>
          <w:p>
            <w:r>
              <w:rPr>
                <w:color w:val="5B6472"/>
                <w:sz w:val="17"/>
              </w:rPr>
              <w:t>VP Corporate Communications, ACME — Works…</w:t>
            </w:r>
          </w:p>
        </w:tc>
        <w:tc>
          <w:tcPr>
            <w:tcW w:type="dxa" w:w="2484"/>
          </w:tcPr>
          <w:p>
            <w:r>
              <w:rPr>
                <w:color w:val="5B6472"/>
                <w:sz w:val="17"/>
              </w:rPr>
              <w:t>VP Procurement, ACME — Workstream Lead</w:t>
            </w:r>
          </w:p>
        </w:tc>
        <w:tc>
          <w:tcPr>
            <w:tcW w:type="dxa" w:w="2484"/>
          </w:tcPr>
          <w:p>
            <w:r>
              <w:rPr>
                <w:color w:val="5B6472"/>
                <w:sz w:val="17"/>
              </w:rPr>
              <w:t>Director, Corporate Real Estate, ACME — W…</w:t>
            </w:r>
          </w:p>
        </w:tc>
      </w:tr>
      <w:tr>
        <w:tc>
          <w:tcPr>
            <w:tcW w:type="dxa" w:w="2484"/>
          </w:tcPr>
          <w:p>
            <w:r>
              <w:rPr>
                <w:b/>
                <w:color w:val="1B3A6B"/>
                <w:sz w:val="17"/>
              </w:rPr>
              <w:t>P. Hasenfratz</w:t>
            </w:r>
          </w:p>
        </w:tc>
        <w:tc>
          <w:tcPr>
            <w:tcW w:type="dxa" w:w="2484"/>
          </w:tcPr>
          <w:p>
            <w:r>
              <w:rPr>
                <w:b/>
                <w:color w:val="1B3A6B"/>
                <w:sz w:val="17"/>
              </w:rPr>
              <w:t>R. Tomlinson</w:t>
            </w:r>
          </w:p>
        </w:tc>
        <w:tc>
          <w:tcPr>
            <w:tcW w:type="dxa" w:w="2484"/>
          </w:tcPr>
          <w:p>
            <w:r>
              <w:rPr>
                <w:b/>
                <w:color w:val="1B3A6B"/>
                <w:sz w:val="17"/>
              </w:rPr>
              <w:t>D. Achterberg</w:t>
            </w:r>
          </w:p>
        </w:tc>
        <w:tc>
          <w:tcPr>
            <w:tcW w:type="dxa" w:w="2484"/>
          </w:tcPr>
          <w:p>
            <w:r>
              <w:rPr>
                <w:b/>
                <w:color w:val="1B3A6B"/>
                <w:sz w:val="17"/>
              </w:rPr>
              <w:t>S. Grimsley</w:t>
            </w:r>
          </w:p>
        </w:tc>
      </w:tr>
      <w:tr>
        <w:tc>
          <w:tcPr>
            <w:tcW w:type="dxa" w:w="2484"/>
          </w:tcPr>
          <w:p>
            <w:r>
              <w:rPr>
                <w:color w:val="5B6472"/>
                <w:sz w:val="17"/>
              </w:rPr>
              <w:t>Manager, Information Security, Cumberland…</w:t>
            </w:r>
          </w:p>
        </w:tc>
        <w:tc>
          <w:tcPr>
            <w:tcW w:type="dxa" w:w="2484"/>
          </w:tcPr>
          <w:p>
            <w:r>
              <w:rPr>
                <w:color w:val="5B6472"/>
                <w:sz w:val="17"/>
              </w:rPr>
              <w:t>Director, Communications, Cumberland Vall…</w:t>
            </w:r>
          </w:p>
        </w:tc>
        <w:tc>
          <w:tcPr>
            <w:tcW w:type="dxa" w:w="2484"/>
          </w:tcPr>
          <w:p>
            <w:r>
              <w:rPr>
                <w:color w:val="5B6472"/>
                <w:sz w:val="17"/>
              </w:rPr>
              <w:t>Director, Vendor Management, Cumberland V…</w:t>
            </w:r>
          </w:p>
        </w:tc>
        <w:tc>
          <w:tcPr>
            <w:tcW w:type="dxa" w:w="2484"/>
          </w:tcPr>
          <w:p>
            <w:r>
              <w:rPr>
                <w:color w:val="5B6472"/>
                <w:sz w:val="17"/>
              </w:rPr>
              <w:t>Facilities Manager, Cumberland Valley</w:t>
            </w:r>
          </w:p>
        </w:tc>
      </w:tr>
      <w:tr>
        <w:tc>
          <w:tcPr>
            <w:tcW w:type="dxa" w:w="2484"/>
          </w:tcPr>
          <w:p>
            <w:r>
              <w:rPr>
                <w:sz w:val="17"/>
              </w:rPr>
            </w:r>
          </w:p>
        </w:tc>
        <w:tc>
          <w:tcPr>
            <w:tcW w:type="dxa" w:w="2484"/>
          </w:tcPr>
          <w:p>
            <w:r>
              <w:rPr>
                <w:sz w:val="17"/>
              </w:rPr>
            </w:r>
          </w:p>
        </w:tc>
        <w:tc>
          <w:tcPr>
            <w:tcW w:type="dxa" w:w="2484"/>
          </w:tcPr>
          <w:p>
            <w:r>
              <w:rPr>
                <w:b/>
                <w:color w:val="1B3A6B"/>
                <w:sz w:val="17"/>
              </w:rPr>
              <w:t>M. Rousseau</w:t>
            </w:r>
          </w:p>
        </w:tc>
        <w:tc>
          <w:tcPr>
            <w:tcW w:type="dxa" w:w="2484"/>
          </w:tcPr>
          <w:p>
            <w:r>
              <w:rPr>
                <w:sz w:val="17"/>
              </w:rPr>
            </w:r>
          </w:p>
        </w:tc>
      </w:tr>
      <w:tr>
        <w:tc>
          <w:tcPr>
            <w:tcW w:type="dxa" w:w="2484"/>
          </w:tcPr>
          <w:p>
            <w:r>
              <w:rPr>
                <w:sz w:val="17"/>
              </w:rPr>
            </w:r>
          </w:p>
        </w:tc>
        <w:tc>
          <w:tcPr>
            <w:tcW w:type="dxa" w:w="2484"/>
          </w:tcPr>
          <w:p>
            <w:r>
              <w:rPr>
                <w:sz w:val="17"/>
              </w:rPr>
            </w:r>
          </w:p>
        </w:tc>
        <w:tc>
          <w:tcPr>
            <w:tcW w:type="dxa" w:w="2484"/>
          </w:tcPr>
          <w:p>
            <w:r>
              <w:rPr>
                <w:color w:val="5B6472"/>
                <w:sz w:val="17"/>
              </w:rPr>
              <w:t>Contracts Consultant — change-of-control …</w:t>
            </w:r>
          </w:p>
        </w:tc>
        <w:tc>
          <w:tcPr>
            <w:tcW w:type="dxa" w:w="2484"/>
          </w:tcPr>
          <w:p>
            <w:r>
              <w:rPr>
                <w:sz w:val="17"/>
              </w:rPr>
            </w:r>
          </w:p>
        </w:tc>
      </w:tr>
      <w:tr>
        <w:tc>
          <w:tcPr>
            <w:tcW w:type="dxa" w:w="2484"/>
          </w:tcPr>
          <w:p>
            <w:r>
              <w:rPr>
                <w:sz w:val="17"/>
              </w:rPr>
            </w:r>
          </w:p>
        </w:tc>
        <w:tc>
          <w:tcPr>
            <w:tcW w:type="dxa" w:w="2484"/>
          </w:tcPr>
          <w:p>
            <w:r>
              <w:rPr>
                <w:sz w:val="17"/>
              </w:rPr>
            </w:r>
          </w:p>
        </w:tc>
        <w:tc>
          <w:tcPr>
            <w:tcW w:type="dxa" w:w="2484"/>
          </w:tcPr>
          <w:p>
            <w:r>
              <w:rPr>
                <w:color w:val="5B6472"/>
                <w:sz w:val="17"/>
              </w:rPr>
              <w:t>EDI Transaction Assurance</w:t>
            </w:r>
          </w:p>
        </w:tc>
        <w:tc>
          <w:tcPr>
            <w:tcW w:type="dxa" w:w="2484"/>
          </w:tcPr>
          <w:p>
            <w:r>
              <w:rPr>
                <w:sz w:val="17"/>
              </w:rPr>
            </w:r>
          </w:p>
        </w:tc>
      </w:tr>
      <w:tr>
        <w:tc>
          <w:tcPr>
            <w:tcW w:type="dxa" w:w="2484"/>
          </w:tcPr>
          <w:p>
            <w:r>
              <w:rPr>
                <w:sz w:val="17"/>
              </w:rPr>
            </w:r>
          </w:p>
        </w:tc>
        <w:tc>
          <w:tcPr>
            <w:tcW w:type="dxa" w:w="2484"/>
          </w:tcPr>
          <w:p>
            <w:r>
              <w:rPr>
                <w:sz w:val="17"/>
              </w:rPr>
            </w:r>
          </w:p>
        </w:tc>
        <w:tc>
          <w:tcPr>
            <w:tcW w:type="dxa" w:w="2484"/>
          </w:tcPr>
          <w:p>
            <w:r>
              <w:rPr>
                <w:sz w:val="17"/>
              </w:rPr>
              <w:t>3 people</w:t>
            </w:r>
          </w:p>
        </w:tc>
        <w:tc>
          <w:tcPr>
            <w:tcW w:type="dxa" w:w="2484"/>
          </w:tcPr>
          <w:p>
            <w:r>
              <w:rPr>
                <w:sz w:val="17"/>
              </w:rPr>
            </w:r>
          </w:p>
        </w:tc>
      </w:tr>
      <w:tr>
        <w:tc>
          <w:tcPr>
            <w:tcW w:type="dxa" w:w="2484"/>
          </w:tcPr>
          <w:p>
            <w:r>
              <w:rPr>
                <w:sz w:val="17"/>
              </w:rPr>
            </w:r>
          </w:p>
        </w:tc>
        <w:tc>
          <w:tcPr>
            <w:tcW w:type="dxa" w:w="2484"/>
          </w:tcPr>
          <w:p>
            <w:r>
              <w:rPr>
                <w:b/>
                <w:color w:val="1B3A6B"/>
                <w:sz w:val="17"/>
              </w:rPr>
              <w:t>N. Reinhardt</w:t>
            </w:r>
          </w:p>
        </w:tc>
        <w:tc>
          <w:tcPr>
            <w:tcW w:type="dxa" w:w="2484"/>
          </w:tcPr>
          <w:p>
            <w:r>
              <w:rPr>
                <w:sz w:val="17"/>
              </w:rPr>
            </w:r>
          </w:p>
        </w:tc>
        <w:tc>
          <w:tcPr>
            <w:tcW w:type="dxa" w:w="2484"/>
          </w:tcPr>
          <w:p>
            <w:r>
              <w:rPr>
                <w:sz w:val="17"/>
              </w:rPr>
            </w:r>
          </w:p>
        </w:tc>
      </w:tr>
      <w:tr>
        <w:tc>
          <w:tcPr>
            <w:tcW w:type="dxa" w:w="2484"/>
          </w:tcPr>
          <w:p>
            <w:r>
              <w:rPr>
                <w:sz w:val="17"/>
              </w:rPr>
            </w:r>
          </w:p>
        </w:tc>
        <w:tc>
          <w:tcPr>
            <w:tcW w:type="dxa" w:w="2484"/>
          </w:tcPr>
          <w:p>
            <w:r>
              <w:rPr>
                <w:sz w:val="17"/>
              </w:rPr>
              <w:t>Engagement Lead, X12 Assurance</w:t>
            </w:r>
          </w:p>
        </w:tc>
        <w:tc>
          <w:tcPr>
            <w:tcW w:type="dxa" w:w="2484"/>
          </w:tcPr>
          <w:p>
            <w:r>
              <w:rPr>
                <w:sz w:val="17"/>
              </w:rPr>
            </w:r>
          </w:p>
        </w:tc>
        <w:tc>
          <w:tcPr>
            <w:tcW w:type="dxa" w:w="2484"/>
          </w:tcPr>
          <w:p>
            <w:r>
              <w:rPr>
                <w:sz w:val="17"/>
              </w:rPr>
            </w:r>
          </w:p>
        </w:tc>
      </w:tr>
      <w:tr>
        <w:tc>
          <w:tcPr>
            <w:tcW w:type="dxa" w:w="2484"/>
          </w:tcPr>
          <w:p>
            <w:r>
              <w:rPr>
                <w:sz w:val="17"/>
              </w:rPr>
            </w:r>
          </w:p>
        </w:tc>
        <w:tc>
          <w:tcPr>
            <w:tcW w:type="dxa" w:w="2484"/>
          </w:tcPr>
          <w:p>
            <w:r>
              <w:rPr>
                <w:b/>
                <w:color w:val="1B3A6B"/>
                <w:sz w:val="17"/>
              </w:rPr>
              <w:t>T. Osei-Bonsu</w:t>
            </w:r>
          </w:p>
        </w:tc>
        <w:tc>
          <w:tcPr>
            <w:tcW w:type="dxa" w:w="2484"/>
          </w:tcPr>
          <w:p>
            <w:r>
              <w:rPr>
                <w:sz w:val="17"/>
              </w:rPr>
            </w:r>
          </w:p>
        </w:tc>
        <w:tc>
          <w:tcPr>
            <w:tcW w:type="dxa" w:w="2484"/>
          </w:tcPr>
          <w:p>
            <w:r>
              <w:rPr>
                <w:sz w:val="17"/>
              </w:rPr>
            </w:r>
          </w:p>
        </w:tc>
      </w:tr>
      <w:tr>
        <w:tc>
          <w:tcPr>
            <w:tcW w:type="dxa" w:w="2484"/>
          </w:tcPr>
          <w:p>
            <w:r>
              <w:rPr>
                <w:sz w:val="17"/>
              </w:rPr>
            </w:r>
          </w:p>
        </w:tc>
        <w:tc>
          <w:tcPr>
            <w:tcW w:type="dxa" w:w="2484"/>
          </w:tcPr>
          <w:p>
            <w:r>
              <w:rPr>
                <w:sz w:val="17"/>
              </w:rPr>
              <w:t>Senior EDI Analyst — 834 enrollment, 820 …</w:t>
            </w:r>
          </w:p>
        </w:tc>
        <w:tc>
          <w:tcPr>
            <w:tcW w:type="dxa" w:w="2484"/>
          </w:tcPr>
          <w:p>
            <w:r>
              <w:rPr>
                <w:sz w:val="17"/>
              </w:rPr>
            </w:r>
          </w:p>
        </w:tc>
        <w:tc>
          <w:tcPr>
            <w:tcW w:type="dxa" w:w="2484"/>
          </w:tcPr>
          <w:p>
            <w:r>
              <w:rPr>
                <w:sz w:val="17"/>
              </w:rPr>
            </w:r>
          </w:p>
        </w:tc>
      </w:tr>
      <w:tr>
        <w:tc>
          <w:tcPr>
            <w:tcW w:type="dxa" w:w="2484"/>
          </w:tcPr>
          <w:p>
            <w:r>
              <w:rPr>
                <w:sz w:val="17"/>
              </w:rPr>
            </w:r>
          </w:p>
        </w:tc>
        <w:tc>
          <w:tcPr>
            <w:tcW w:type="dxa" w:w="2484"/>
          </w:tcPr>
          <w:p>
            <w:r>
              <w:rPr>
                <w:b/>
                <w:color w:val="1B3A6B"/>
                <w:sz w:val="17"/>
              </w:rPr>
              <w:t>L. Marchesi</w:t>
            </w:r>
          </w:p>
        </w:tc>
        <w:tc>
          <w:tcPr>
            <w:tcW w:type="dxa" w:w="2484"/>
          </w:tcPr>
          <w:p>
            <w:r>
              <w:rPr>
                <w:sz w:val="17"/>
              </w:rPr>
            </w:r>
          </w:p>
        </w:tc>
        <w:tc>
          <w:tcPr>
            <w:tcW w:type="dxa" w:w="2484"/>
          </w:tcPr>
          <w:p>
            <w:r>
              <w:rPr>
                <w:sz w:val="17"/>
              </w:rPr>
            </w:r>
          </w:p>
        </w:tc>
      </w:tr>
      <w:tr>
        <w:tc>
          <w:tcPr>
            <w:tcW w:type="dxa" w:w="2484"/>
          </w:tcPr>
          <w:p>
            <w:r>
              <w:rPr>
                <w:sz w:val="17"/>
              </w:rPr>
            </w:r>
          </w:p>
        </w:tc>
        <w:tc>
          <w:tcPr>
            <w:tcW w:type="dxa" w:w="2484"/>
          </w:tcPr>
          <w:p>
            <w:r>
              <w:rPr>
                <w:sz w:val="17"/>
              </w:rPr>
              <w:t>Senior EDI Analyst — 837/835 claims &amp; rem…</w:t>
            </w:r>
          </w:p>
        </w:tc>
        <w:tc>
          <w:tcPr>
            <w:tcW w:type="dxa" w:w="2484"/>
          </w:tcPr>
          <w:p>
            <w:r>
              <w:rPr>
                <w:sz w:val="17"/>
              </w:rPr>
            </w:r>
          </w:p>
        </w:tc>
        <w:tc>
          <w:tcPr>
            <w:tcW w:type="dxa" w:w="2484"/>
          </w:tcPr>
          <w:p>
            <w:r>
              <w:rPr>
                <w:sz w:val="17"/>
              </w:rPr>
            </w:r>
          </w:p>
        </w:tc>
      </w:tr>
    </w:tbl>
    <w:p/>
    <w:p>
      <w:pPr>
        <w:spacing w:before="360" w:after="120"/>
      </w:pPr>
      <w:r>
        <w:rPr>
          <w:b/>
          <w:color w:val="1B3A6B"/>
          <w:sz w:val="28"/>
        </w:rPr>
        <w:t>What These Charts Do Not Show</w:t>
      </w:r>
    </w:p>
    <w:tbl>
      <w:tblPr>
        <w:tblStyle w:val="TableGrid"/>
        <w:tblW w:type="auto" w:w="0"/>
        <w:tblLook w:firstColumn="1" w:firstRow="1" w:lastColumn="0" w:lastRow="0" w:noHBand="0" w:noVBand="1" w:val="04A0"/>
      </w:tblPr>
      <w:tblGrid>
        <w:gridCol w:w="4968"/>
        <w:gridCol w:w="4968"/>
      </w:tblGrid>
      <w:tr>
        <w:tc>
          <w:tcPr>
            <w:tcW w:type="dxa" w:w="4968"/>
          </w:tcPr>
          <w:p>
            <w:r>
              <w:rPr>
                <w:b/>
                <w:color w:val="1B3A6B"/>
                <w:sz w:val="18"/>
              </w:rPr>
              <w:t>Not shown</w:t>
            </w:r>
          </w:p>
        </w:tc>
        <w:tc>
          <w:tcPr>
            <w:tcW w:type="dxa" w:w="4968"/>
          </w:tcPr>
          <w:p>
            <w:r>
              <w:rPr>
                <w:b/>
                <w:color w:val="1B3A6B"/>
                <w:sz w:val="18"/>
              </w:rPr>
              <w:t>Why it matters</w:t>
            </w:r>
          </w:p>
        </w:tc>
      </w:tr>
      <w:tr>
        <w:tc>
          <w:tcPr>
            <w:tcW w:type="dxa" w:w="4968"/>
          </w:tcPr>
          <w:p>
            <w:r>
              <w:rPr>
                <w:sz w:val="18"/>
              </w:rPr>
              <w:t>Line management</w:t>
            </w:r>
          </w:p>
        </w:tc>
        <w:tc>
          <w:tcPr>
            <w:tcW w:type="dxa" w:w="4968"/>
          </w:tcPr>
          <w:p>
            <w:r>
              <w:rPr>
                <w:sz w:val="18"/>
              </w:rPr>
              <w:t>Nobody here reports to the Program Manager. Workstream leads are accountable to the program and employed elsewhere.</w:t>
            </w:r>
          </w:p>
        </w:tc>
      </w:tr>
      <w:tr>
        <w:tc>
          <w:tcPr>
            <w:tcW w:type="dxa" w:w="4968"/>
          </w:tcPr>
          <w:p>
            <w:r>
              <w:rPr>
                <w:sz w:val="18"/>
              </w:rPr>
              <w:t>Who decides someone's future</w:t>
            </w:r>
          </w:p>
        </w:tc>
        <w:tc>
          <w:tcPr>
            <w:tcW w:type="dxa" w:w="4968"/>
          </w:tcPr>
          <w:p>
            <w:r>
              <w:rPr>
                <w:sz w:val="18"/>
              </w:rPr>
              <w:t>⚠ Target-side staff are managed by executives who may not be here in a year, and they know it. Sixteen roles carry retention agreements; every one is at Cumberland Valley.</w:t>
            </w:r>
          </w:p>
        </w:tc>
      </w:tr>
      <w:tr>
        <w:tc>
          <w:tcPr>
            <w:tcW w:type="dxa" w:w="4968"/>
          </w:tcPr>
          <w:p>
            <w:r>
              <w:rPr>
                <w:sz w:val="18"/>
              </w:rPr>
              <w:t>Capacity</w:t>
            </w:r>
          </w:p>
        </w:tc>
        <w:tc>
          <w:tcPr>
            <w:tcW w:type="dxa" w:w="4968"/>
          </w:tcPr>
          <w:p>
            <w:r>
              <w:rPr>
                <w:sz w:val="18"/>
              </w:rPr>
              <w:t>A box is not a full-time person. Several appear for a monthly meeting. The Resource Plan carries effort; these pages carry accountability.</w:t>
            </w:r>
          </w:p>
        </w:tc>
      </w:tr>
      <w:tr>
        <w:tc>
          <w:tcPr>
            <w:tcW w:type="dxa" w:w="4968"/>
          </w:tcPr>
          <w:p>
            <w:r>
              <w:rPr>
                <w:sz w:val="18"/>
              </w:rPr>
              <w:t>The shape after closing</w:t>
            </w:r>
          </w:p>
        </w:tc>
        <w:tc>
          <w:tcPr>
            <w:tcW w:type="dxa" w:w="4968"/>
          </w:tcPr>
          <w:p>
            <w:r>
              <w:rPr>
                <w:sz w:val="18"/>
              </w:rPr>
              <w:t>The roster went from 58 pre-close to 80 post-close and changed composition, not just size — the Clean Team left and the data stewards arrived.</w:t>
            </w:r>
          </w:p>
        </w:tc>
      </w:tr>
    </w:tbl>
    <w:p/>
    <w:p>
      <w:pPr>
        <w:spacing w:after="160"/>
      </w:pPr>
      <w:r>
        <w:rPr>
          <w:i/>
          <w:color w:val="5B6472"/>
          <w:sz w:val="20"/>
        </w:rPr>
        <w:t>The second row is the one an integration program manager learns to hold in mind. A counterpart at the acquired company is being asked to document how their systems work, transfer that knowledge to the acquirer, and hit dates — while the same program decides whether their function survives. Nothing in a reporting line manages that, and no amount of goodwill substitutes for naming it. It is why knowledge transfer is contracted as a deliverable with named receivers rather than assumed as a by-product of people being helpful.</w:t>
      </w:r>
    </w:p>
    <w:p>
      <w:pPr>
        <w:spacing w:after="160"/>
      </w:pPr>
      <w:r>
        <w:rPr>
          <w:i w:val="0"/>
          <w:sz w:val="20"/>
        </w:rPr>
        <w:t>Related artifacts: 1 — Integration Charter · 5 — Clean Team Protocol · 8 — Consulting SOW · 9 — Integration Management Plan · 14 — Resource Plan · 19 — Retention &amp; Key Talent</w:t>
      </w:r>
    </w:p>
    <w:p/>
    <w:p>
      <w:pPr>
        <w:spacing w:after="160"/>
      </w:pPr>
      <w:r>
        <w:rPr>
          <w:i/>
          <w:color w:val="5B6472"/>
          <w:sz w:val="16"/>
        </w:rPr>
        <w:t>Illustrative program data — created to demonstrate M&amp;A integration program management practice. ACME Health, Cumberland Valley Health Plan and Cheatham Mutual Holdings are fictional entities; no real transaction, rate, or member data is represented.</w:t>
      </w:r>
    </w:p>
    <w:sectPr w:rsidR="00FC693F" w:rsidRPr="0006063C" w:rsidSect="00034616">
      <w:pgSz w:w="12240" w:h="15840"/>
      <w:pgMar w:top="1440" w:right="1152"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