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37 ·</w:t>
      </w:r>
    </w:p>
    <w:p>
      <w:r>
        <w:rPr>
          <w:b/>
          <w:color w:val="12304A"/>
          <w:sz w:val="44"/>
        </w:rPr>
        <w:t>Provider Network Rationalization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November 20, 2023 — seven weeks after Day 1. This plan sets out how the two provider networks are consolidated to deliver the $19,000,000 run-rate contribution the network line carries in the synergy model. It is written before any renegotiation has opened, and it is deliberate about the fact that the program's leverage in those negotiations is weaker than the synergy model assumes.</w:t>
      </w:r>
    </w:p>
    <w:p>
      <w:pPr>
        <w:spacing w:before="320"/>
      </w:pPr>
      <w:r>
        <w:rPr>
          <w:b/>
          <w:color w:val="12304A"/>
          <w:sz w:val="28"/>
        </w:rPr>
        <w:t>1. Scope and the best-of-both disposition</w:t>
      </w:r>
    </w:p>
    <w:p>
      <w:r>
        <w:t>The Application Disposition Matrix records provider network as best-of-both rather than absorb. That disposition is a statement about contracts and rate schedules, not about software: the network management platform is being absorbed like any other application, while the underlying provider relationships are evaluated one at a time and the better of the two arrangements is retained.</w:t>
      </w:r>
    </w:p>
    <w:p>
      <w:r>
        <w:t>Best-of-both is the correct disposition here for a reason specific to networks. Absorbing Cumberland Valley's members onto ACME's network wholesale would move roughly 420,000 members onto a network built for a different geography and a different membership mix. Cumberland Valley's network is denser in the counties where its members actually live. The value in this acquisition is partly that network, and absorbing it away would destroy the thing that was purchased.</w:t>
      </w:r>
    </w:p>
    <w:p>
      <w:r>
        <w:t>The reverse error is equally available. Retaining both networks in full delivers no rationalization at all, and the $19,000,000 line in the synergy model exists precisely because duplicate contracting in overlapping geographies is the largest recoverable inefficiency the diligence identified.</w:t>
      </w:r>
    </w:p>
    <w:p>
      <w:pPr>
        <w:spacing w:before="120"/>
        <w:ind w:left="360"/>
      </w:pPr>
      <w:r>
        <w:rPr>
          <w:i/>
          <w:color w:val="12304A"/>
          <w:sz w:val="20"/>
        </w:rPr>
        <w:t>What "best-of-both" costs that "absorb" does not. An absorb decision is executed once, centrally, by a project team. Best-of-both is executed contract by contract, by people who have to hold a commercial conversation with each provider, and it does not finish on a date the program chooses. This plan is longer than the corresponding section for any absorbed application for that reason alone — the disposition is cheaper in destroyed value and far more expensive in elapsed effort. That trade was made knowingly, and the cost of it belongs on the page rather than in the workstream lead's head.</w:t>
      </w:r>
    </w:p>
    <w:p>
      <w:pPr>
        <w:spacing w:before="320"/>
      </w:pPr>
      <w:r>
        <w:rPr>
          <w:b/>
          <w:color w:val="12304A"/>
          <w:sz w:val="28"/>
        </w:rPr>
        <w:t>2. What actually gates this work: contract anniversaries</w:t>
      </w:r>
    </w:p>
    <w:p>
      <w:r>
        <w:t>A provider contract cannot be renegotiated because the acquirer would like to renegotiate it. It opens on its anniversary or on a notice window defined in its own terms, and until then the existing rate schedule stands. This single fact governs the shape of the entire workstream and is the most common thing missed when network synergy is modeled.</w:t>
      </w:r>
    </w:p>
    <w:p>
      <w:r>
        <w:t>The consequence is that the $19,000,000 does not arrive evenly, and it cannot be pulled forward by adding staff. Three quarters of the overlapping agreements carry anniversaries clustered in the first and third quarters, which means the work has natural peaks and long flat stretches where nothing can be signed no matter how many contracting analysts are available.</w:t>
      </w:r>
    </w:p>
    <w:p>
      <w:pPr>
        <w:spacing w:before="120"/>
        <w:ind w:left="360"/>
      </w:pPr>
      <w:r>
        <w:rPr>
          <w:i/>
          <w:color w:val="12304A"/>
          <w:sz w:val="20"/>
        </w:rPr>
        <w:t>The trap: a resourcing answer to a calendar problem. When network synergy runs behind model, the instinctive response is to add contracting capacity. It does not help. The binding constraint is not how many negotiations can be run in parallel — it is how many contracts are legally open to being renegotiated in a given quarter, and that number is fixed by agreements signed years before this transaction existed. Staff added against a closed contract produce nothing. The only levers that work are starting the notice clock earlier where a window allows it, and accepting that some value lands in a later year than the model shows.</w:t>
      </w:r>
    </w:p>
    <w:p>
      <w:pPr>
        <w:spacing w:before="320"/>
      </w:pPr>
      <w:r>
        <w:rPr>
          <w:b/>
          <w:color w:val="12304A"/>
          <w:sz w:val="28"/>
        </w:rPr>
        <w:t>3. Network adequacy is a regulatory floor, not a target</w:t>
      </w:r>
    </w:p>
    <w:p>
      <w:r>
        <w:t>Every rationalization decision is bounded by network adequacy standards enforced by the state department of insurance: time and distance to a contracted provider by specialty, provider-to-member ratios, and required coverage for specific services. These are conditions of the license to operate, not internal quality goals.</w:t>
      </w:r>
    </w:p>
    <w:p>
      <w:r>
        <w:t>This constrains rationalization in a way the synergy model does not naturally express. Terminating a duplicate contract to consolidate onto the better rate is only available where the remaining network still satisfies adequacy for every affected member. In the denser counties that test is easy. In several rural counties Cumberland Valley contracts with the only practice of its specialty within the required distance, which makes that contract non-terminable regardless of what its rate schedule says.</w:t>
      </w:r>
    </w:p>
    <w:p>
      <w:pPr>
        <w:spacing w:before="120"/>
        <w:ind w:left="360"/>
      </w:pPr>
      <w:r>
        <w:rPr>
          <w:i/>
          <w:color w:val="12304A"/>
          <w:sz w:val="20"/>
        </w:rPr>
        <w:t>The adequacy test is run before the rate comparison, not after. Sequencing matters more than it appears. If the rate analysis runs first, the workstream produces a target list ranked by savings, and adequacy then removes items from it — which reads as the regulatory function blocking value the business had already counted. Running adequacy first produces a list of contracts that are genuinely available to rationalize, and the savings estimate built on that list is one that survives contact with the filing. The same two tests in the opposite order produce a number the program has to walk back.</w:t>
      </w:r>
    </w:p>
    <w:p>
      <w:pPr>
        <w:spacing w:before="320"/>
      </w:pPr>
      <w:r>
        <w:rPr>
          <w:b/>
          <w:color w:val="12304A"/>
          <w:sz w:val="28"/>
        </w:rPr>
        <w:t>4. Continuity of care obligations</w:t>
      </w:r>
    </w:p>
    <w:p>
      <w:r>
        <w:t>Where a contract is terminated, members in an active course of treatment with that provider carry a statutory right to continue at in-network cost sharing for a defined period. Pregnancy and active oncology treatment carry the longest protections. This is not discretionary and does not depend on the member requesting it.</w:t>
      </w:r>
    </w:p>
    <w:p>
      <w:r>
        <w:t>Two practical consequences follow. First, savings from a terminated contract begin only after the continuity period expires for the members using it, which for a provider with obstetric volume can extend most of a year past the termination date. Second, the program must be able to identify affected members before termination, which requires the treatment history to be queryable — a dependency on the data work rather than on the network workstream.</w:t>
      </w:r>
    </w:p>
    <w:p>
      <w:pPr>
        <w:spacing w:before="120"/>
        <w:ind w:left="360"/>
      </w:pPr>
      <w:r>
        <w:rPr>
          <w:i/>
          <w:color w:val="12304A"/>
          <w:sz w:val="20"/>
        </w:rPr>
        <w:t>This depends on identity resolution and inherits its uncertainty. Identifying every member in an active course of treatment with a terminating provider assumes the member's claims history is complete and attached to the right person. Where records for the same member remain unmerged, treatment episodes sit split across records and a continuity obligation can be missed. The EMPI plan carries a deterministic match rate of 65% with a further 27% resolved automatically and a review band of 8%; the review band is worked by stewards over time rather than resolved at cutover. Until that queue clears, continuity screening runs against a population that is mostly but not entirely consolidated, and the network workstream should treat a clean screen as evidence rather than proof. No contract with material obstetric or oncology volume should be terminated on screening alone without a manual review of the affected panel.</w:t>
      </w:r>
    </w:p>
    <w:p>
      <w:pPr>
        <w:spacing w:before="320"/>
      </w:pPr>
      <w:r>
        <w:rPr>
          <w:b/>
          <w:color w:val="12304A"/>
          <w:sz w:val="28"/>
        </w:rPr>
        <w:t>5. The negotiating position, stated honestly</w:t>
      </w:r>
    </w:p>
    <w:p>
      <w:r>
        <w:t>The synergy model assumes that where both organizations contract with the same provider, the combined entity retains the better of the two rate schedules. That assumption is the source of most of the $19,000,000, and it is weaker than it looks.</w:t>
      </w:r>
    </w:p>
    <w:p>
      <w:r>
        <w:t>Before the transaction, ACME did not know Cumberland Valley's rates and Cumberland Valley did not know ACME's. The provider knew both. At the moment the two contracts are consolidated into one relationship, the program sits down opposite a counterparty who has always had complete information about both sides while the program is assembling its own picture for the first time.</w:t>
      </w:r>
    </w:p>
    <w:p>
      <w:pPr>
        <w:spacing w:before="120"/>
        <w:ind w:left="360"/>
      </w:pPr>
      <w:r>
        <w:rPr>
          <w:i/>
          <w:color w:val="12304A"/>
          <w:sz w:val="20"/>
        </w:rPr>
        <w:t>The information asymmetry runs against the acquirer, and it is the single most important thing on this page. The program's opening position is the lower of the two rate schedules. The provider's opening position is the higher — and the provider can point out, correctly, that they have been paid at that rate by one of the two entities continuously. Neither party is bluffing; both are describing real contracts. What the model records as an arithmetic outcome is in fact the midpoint of a negotiation that has not happened yet, against a counterparty with better information and no obligation to accept a reduction. Scale helps but does not decide it. The combined entity brings more covered lives, which matters to a provider dependent on that volume; in the concentrated markets where a single health system is the only viable source of inpatient care for a county, the leverage runs the other way and the realistic outcome is holding the current rate rather than improving it.</w:t>
      </w:r>
    </w:p>
    <w:p>
      <w:r>
        <w:t>The plan therefore does not assume the better rate in every case. Targets are set by tier in section 6, and the aggregate of those tiers — not the arithmetic of the two rate schedules — is what the workstream commits to.</w:t>
      </w:r>
    </w:p>
    <w:p>
      <w:pPr>
        <w:spacing w:before="320"/>
      </w:pPr>
      <w:r>
        <w:rPr>
          <w:b/>
          <w:color w:val="12304A"/>
          <w:sz w:val="28"/>
        </w:rPr>
        <w:t>6. Sequencing and the three tiers</w:t>
      </w:r>
    </w:p>
    <w:p>
      <w:r>
        <w:t>Overlapping agreements are sorted into three tiers by leverage rather than by savings, because leverage determines what is achievable and savings only determines what is desirable.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Characteristic</w:t>
            </w:r>
          </w:p>
        </w:tc>
        <w:tc>
          <w:tcPr>
            <w:tcW w:type="dxa" w:w="2412"/>
          </w:tcPr>
          <w:p>
            <w:r>
              <w:rPr>
                <w:b/>
                <w:sz w:val="17"/>
              </w:rPr>
              <w:t>Position</w:t>
            </w:r>
          </w:p>
        </w:tc>
        <w:tc>
          <w:tcPr>
            <w:tcW w:type="dxa" w:w="2412"/>
          </w:tcPr>
          <w:p>
            <w:r>
              <w:rPr>
                <w:b/>
                <w:sz w:val="17"/>
              </w:rPr>
              <w:t>Sequence</w:t>
            </w:r>
          </w:p>
        </w:tc>
      </w:tr>
      <w:tr>
        <w:tc>
          <w:tcPr>
            <w:tcW w:type="dxa" w:w="2412"/>
          </w:tcPr>
          <w:p>
            <w:r>
              <w:rPr>
                <w:sz w:val="17"/>
              </w:rPr>
              <w:t>T-1</w:t>
            </w:r>
          </w:p>
        </w:tc>
        <w:tc>
          <w:tcPr>
            <w:tcW w:type="dxa" w:w="2412"/>
          </w:tcPr>
          <w:p>
            <w:r>
              <w:rPr>
                <w:sz w:val="17"/>
              </w:rPr>
              <w:t>Competitive market, several contracted alternatives of the same specialty within adequacy distance</w:t>
            </w:r>
          </w:p>
        </w:tc>
        <w:tc>
          <w:tcPr>
            <w:tcW w:type="dxa" w:w="2412"/>
          </w:tcPr>
          <w:p>
            <w:r>
              <w:rPr>
                <w:sz w:val="17"/>
              </w:rPr>
              <w:t>Consolidate to the better schedule; termination is a credible alternative</w:t>
            </w:r>
          </w:p>
        </w:tc>
        <w:tc>
          <w:tcPr>
            <w:tcW w:type="dxa" w:w="2412"/>
          </w:tcPr>
          <w:p>
            <w:r>
              <w:rPr>
                <w:sz w:val="17"/>
              </w:rPr>
              <w:t>First — as anniversaries open</w:t>
            </w:r>
          </w:p>
        </w:tc>
      </w:tr>
      <w:tr>
        <w:tc>
          <w:tcPr>
            <w:tcW w:type="dxa" w:w="2412"/>
          </w:tcPr>
          <w:p>
            <w:r>
              <w:rPr>
                <w:sz w:val="17"/>
              </w:rPr>
              <w:t>T-2</w:t>
            </w:r>
          </w:p>
        </w:tc>
        <w:tc>
          <w:tcPr>
            <w:tcW w:type="dxa" w:w="2412"/>
          </w:tcPr>
          <w:p>
            <w:r>
              <w:rPr>
                <w:sz w:val="17"/>
              </w:rPr>
              <w:t>Adequate but thin; alternatives exist but a termination would need a replacement contract first</w:t>
            </w:r>
          </w:p>
        </w:tc>
        <w:tc>
          <w:tcPr>
            <w:tcW w:type="dxa" w:w="2412"/>
          </w:tcPr>
          <w:p>
            <w:r>
              <w:rPr>
                <w:sz w:val="17"/>
              </w:rPr>
              <w:t>Seek the better schedule; accept parity rather than force the issue</w:t>
            </w:r>
          </w:p>
        </w:tc>
        <w:tc>
          <w:tcPr>
            <w:tcW w:type="dxa" w:w="2412"/>
          </w:tcPr>
          <w:p>
            <w:r>
              <w:rPr>
                <w:sz w:val="17"/>
              </w:rPr>
              <w:t>Second — paired with recruitment of the alternative</w:t>
            </w:r>
          </w:p>
        </w:tc>
      </w:tr>
      <w:tr>
        <w:tc>
          <w:tcPr>
            <w:tcW w:type="dxa" w:w="2412"/>
          </w:tcPr>
          <w:p>
            <w:r>
              <w:rPr>
                <w:sz w:val="17"/>
              </w:rPr>
              <w:t>T-3</w:t>
            </w:r>
          </w:p>
        </w:tc>
        <w:tc>
          <w:tcPr>
            <w:tcW w:type="dxa" w:w="2412"/>
          </w:tcPr>
          <w:p>
            <w:r>
              <w:rPr>
                <w:sz w:val="17"/>
              </w:rPr>
              <w:t>Sole viable source for the county or specialty; termination is barred by adequacy</w:t>
            </w:r>
          </w:p>
        </w:tc>
        <w:tc>
          <w:tcPr>
            <w:tcW w:type="dxa" w:w="2412"/>
          </w:tcPr>
          <w:p>
            <w:r>
              <w:rPr>
                <w:sz w:val="17"/>
              </w:rPr>
              <w:t>Hold current terms; pursue non-rate value only</w:t>
            </w:r>
          </w:p>
        </w:tc>
        <w:tc>
          <w:tcPr>
            <w:tcW w:type="dxa" w:w="2412"/>
          </w:tcPr>
          <w:p>
            <w:r>
              <w:rPr>
                <w:sz w:val="17"/>
              </w:rPr>
              <w:t>Last — and only where the relationship is already sound</w:t>
            </w:r>
          </w:p>
        </w:tc>
      </w:tr>
    </w:tbl>
    <w:p/>
    <w:p>
      <w:pPr>
        <w:spacing w:before="120"/>
        <w:ind w:left="360"/>
      </w:pPr>
      <w:r>
        <w:rPr>
          <w:i/>
          <w:color w:val="12304A"/>
          <w:sz w:val="20"/>
        </w:rPr>
        <w:t>Tier 3 contracts are worked last on purpose, and a real temptation is being resisted. The T-3 agreements often carry the largest absolute spend, which makes them look like the obvious place to start. But the program cannot terminate them and the provider knows it. Opening there spends the workstream's credibility on the negotiation least likely to move, and it signals to a provider with structural leverage that rate reduction is the program's priority — which is precisely the information not to volunteer before the T-1 conversations have established a pattern of reasonable settlements. Where T-3 relationships are already strong, value is pursued through terms other than unit rate: data sharing, quality program participation, and administrative simplification that reduces cost without touching the schedule.</w:t>
      </w:r>
    </w:p>
    <w:p>
      <w:pPr>
        <w:spacing w:before="320"/>
      </w:pPr>
      <w:r>
        <w:rPr>
          <w:b/>
          <w:color w:val="12304A"/>
          <w:sz w:val="28"/>
        </w:rPr>
        <w:t>7. Recognition: why the money lands later than the signature</w:t>
      </w:r>
    </w:p>
    <w:p>
      <w:r>
        <w:t>A renegotiated rate does not produce savings when it is signed. It produces savings when services are rendered under the new schedule and the resulting claims are adjudicated and paid. Between those two events sits the claims run-out — the period during which claims incurred under the old rate are still arriving and being paid.</w:t>
      </w:r>
    </w:p>
    <w:p>
      <w:r>
        <w:t>For this network that lag runs roughly two to four months for professional claims and longer for facility claims. A contract signed in the closing weeks of a quarter contributes almost nothing to that quarter and only reaches its full run-rate contribution a quarter or more later.</w:t>
      </w:r>
    </w:p>
    <w:p>
      <w:pPr>
        <w:spacing w:before="120"/>
        <w:ind w:left="360"/>
      </w:pPr>
      <w:r>
        <w:rPr>
          <w:i/>
          <w:color w:val="12304A"/>
          <w:sz w:val="20"/>
        </w:rPr>
        <w:t>Run-rate and cumulative capture are different measurements and the difference is not a rounding error. Run-rate answers "what is the annualized effect of everything signed to date"; cumulative capture answers "how much has actually been banked". A workstream can hit its run-rate target exactly and still sit materially behind on cumulative capture, purely because signatures landed later in each period than the model assumed. Reporting only the run-rate makes the workstream look on plan while the cash position says otherwise. Both figures are reported to the Steering Committee, and where they diverge the divergence is explained rather than netted.</w:t>
      </w:r>
    </w:p>
    <w:p>
      <w:pPr>
        <w:spacing w:before="320"/>
      </w:pPr>
      <w:r>
        <w:rPr>
          <w:b/>
          <w:color w:val="12304A"/>
          <w:sz w:val="28"/>
        </w:rPr>
        <w:t>8. Ownership, decision rights and escalation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Decision</w:t>
            </w:r>
          </w:p>
        </w:tc>
        <w:tc>
          <w:tcPr>
            <w:tcW w:type="dxa" w:w="3216"/>
          </w:tcPr>
          <w:p>
            <w:r>
              <w:rPr>
                <w:b/>
                <w:sz w:val="17"/>
              </w:rPr>
              <w:t>Owner</w:t>
            </w:r>
          </w:p>
        </w:tc>
        <w:tc>
          <w:tcPr>
            <w:tcW w:type="dxa" w:w="3216"/>
          </w:tcPr>
          <w:p>
            <w:r>
              <w:rPr>
                <w:b/>
                <w:sz w:val="17"/>
              </w:rPr>
              <w:t>Constraint</w:t>
            </w:r>
          </w:p>
        </w:tc>
      </w:tr>
      <w:tr>
        <w:tc>
          <w:tcPr>
            <w:tcW w:type="dxa" w:w="3216"/>
          </w:tcPr>
          <w:p>
            <w:r>
              <w:rPr>
                <w:sz w:val="17"/>
              </w:rPr>
              <w:t>Tier assignment for an overlapping agreement</w:t>
            </w:r>
          </w:p>
        </w:tc>
        <w:tc>
          <w:tcPr>
            <w:tcW w:type="dxa" w:w="3216"/>
          </w:tcPr>
          <w:p>
            <w:r>
              <w:rPr>
                <w:sz w:val="17"/>
              </w:rPr>
              <w:t>J. Kirkendall, VP Network Management</w:t>
            </w:r>
          </w:p>
        </w:tc>
        <w:tc>
          <w:tcPr>
            <w:tcW w:type="dxa" w:w="3216"/>
          </w:tcPr>
          <w:p>
            <w:r>
              <w:rPr>
                <w:sz w:val="17"/>
              </w:rPr>
              <w:t>Adequacy test completed first</w:t>
            </w:r>
          </w:p>
        </w:tc>
      </w:tr>
      <w:tr>
        <w:tc>
          <w:tcPr>
            <w:tcW w:type="dxa" w:w="3216"/>
          </w:tcPr>
          <w:p>
            <w:r>
              <w:rPr>
                <w:sz w:val="17"/>
              </w:rPr>
              <w:t>Adequacy determination by county and specialty</w:t>
            </w:r>
          </w:p>
        </w:tc>
        <w:tc>
          <w:tcPr>
            <w:tcW w:type="dxa" w:w="3216"/>
          </w:tcPr>
          <w:p>
            <w:r>
              <w:rPr>
                <w:sz w:val="17"/>
              </w:rPr>
              <w:t>J. Kirkendall with E. Wetherby, VP Actuarial Services</w:t>
            </w:r>
          </w:p>
        </w:tc>
        <w:tc>
          <w:tcPr>
            <w:tcW w:type="dxa" w:w="3216"/>
          </w:tcPr>
          <w:p>
            <w:r>
              <w:rPr>
                <w:sz w:val="17"/>
              </w:rPr>
              <w:t>Filed standard governs; no internal override</w:t>
            </w:r>
          </w:p>
        </w:tc>
      </w:tr>
      <w:tr>
        <w:tc>
          <w:tcPr>
            <w:tcW w:type="dxa" w:w="3216"/>
          </w:tcPr>
          <w:p>
            <w:r>
              <w:rPr>
                <w:sz w:val="17"/>
              </w:rPr>
              <w:t>Cumberland Valley contract history and relationship context</w:t>
            </w:r>
          </w:p>
        </w:tc>
        <w:tc>
          <w:tcPr>
            <w:tcW w:type="dxa" w:w="3216"/>
          </w:tcPr>
          <w:p>
            <w:r>
              <w:rPr>
                <w:sz w:val="17"/>
              </w:rPr>
              <w:t>A. Boudreaux, Director, Provider Contracting</w:t>
            </w:r>
          </w:p>
        </w:tc>
        <w:tc>
          <w:tcPr>
            <w:tcW w:type="dxa" w:w="3216"/>
          </w:tcPr>
          <w:p>
            <w:r>
              <w:rPr>
                <w:sz w:val="17"/>
              </w:rPr>
              <w:t>Retention-covered role; knowledge transfer is a deliverable</w:t>
            </w:r>
          </w:p>
        </w:tc>
      </w:tr>
      <w:tr>
        <w:tc>
          <w:tcPr>
            <w:tcW w:type="dxa" w:w="3216"/>
          </w:tcPr>
          <w:p>
            <w:r>
              <w:rPr>
                <w:sz w:val="17"/>
              </w:rPr>
              <w:t>Clinical impact of a proposed termination</w:t>
            </w:r>
          </w:p>
        </w:tc>
        <w:tc>
          <w:tcPr>
            <w:tcW w:type="dxa" w:w="3216"/>
          </w:tcPr>
          <w:p>
            <w:r>
              <w:rPr>
                <w:sz w:val="17"/>
              </w:rPr>
              <w:t>Dr. M. Ellsworth, Chief Medical Officer</w:t>
            </w:r>
          </w:p>
        </w:tc>
        <w:tc>
          <w:tcPr>
            <w:tcW w:type="dxa" w:w="3216"/>
          </w:tcPr>
          <w:p>
            <w:r>
              <w:rPr>
                <w:sz w:val="17"/>
              </w:rPr>
              <w:t>Holds a veto on clinical grounds</w:t>
            </w:r>
          </w:p>
        </w:tc>
      </w:tr>
      <w:tr>
        <w:tc>
          <w:tcPr>
            <w:tcW w:type="dxa" w:w="3216"/>
          </w:tcPr>
          <w:p>
            <w:r>
              <w:rPr>
                <w:sz w:val="17"/>
              </w:rPr>
              <w:t>Continuity-of-care screening before any termination</w:t>
            </w:r>
          </w:p>
        </w:tc>
        <w:tc>
          <w:tcPr>
            <w:tcW w:type="dxa" w:w="3216"/>
          </w:tcPr>
          <w:p>
            <w:r>
              <w:rPr>
                <w:sz w:val="17"/>
              </w:rPr>
              <w:t>Dr. M. Ellsworth with C. Bhattacharya, Manager, Member Data</w:t>
            </w:r>
          </w:p>
        </w:tc>
        <w:tc>
          <w:tcPr>
            <w:tcW w:type="dxa" w:w="3216"/>
          </w:tcPr>
          <w:p>
            <w:r>
              <w:rPr>
                <w:sz w:val="17"/>
              </w:rPr>
              <w:t>Manual panel review where obstetric or oncology volume is material</w:t>
            </w:r>
          </w:p>
        </w:tc>
      </w:tr>
      <w:tr>
        <w:tc>
          <w:tcPr>
            <w:tcW w:type="dxa" w:w="3216"/>
          </w:tcPr>
          <w:p>
            <w:r>
              <w:rPr>
                <w:sz w:val="17"/>
              </w:rPr>
              <w:t>Accepting parity instead of the better schedule</w:t>
            </w:r>
          </w:p>
        </w:tc>
        <w:tc>
          <w:tcPr>
            <w:tcW w:type="dxa" w:w="3216"/>
          </w:tcPr>
          <w:p>
            <w:r>
              <w:rPr>
                <w:sz w:val="17"/>
              </w:rPr>
              <w:t>J. Kirkendall</w:t>
            </w:r>
          </w:p>
        </w:tc>
        <w:tc>
          <w:tcPr>
            <w:tcW w:type="dxa" w:w="3216"/>
          </w:tcPr>
          <w:p>
            <w:r>
              <w:rPr>
                <w:sz w:val="17"/>
              </w:rPr>
              <w:t>Recorded with reason; reported in the workstream's monthly</w:t>
            </w:r>
          </w:p>
        </w:tc>
      </w:tr>
      <w:tr>
        <w:tc>
          <w:tcPr>
            <w:tcW w:type="dxa" w:w="3216"/>
          </w:tcPr>
          <w:p>
            <w:r>
              <w:rPr>
                <w:sz w:val="17"/>
              </w:rPr>
              <w:t>Any settlement worse than the current ACME schedule</w:t>
            </w:r>
          </w:p>
        </w:tc>
        <w:tc>
          <w:tcPr>
            <w:tcW w:type="dxa" w:w="3216"/>
          </w:tcPr>
          <w:p>
            <w:r>
              <w:rPr>
                <w:sz w:val="17"/>
              </w:rPr>
              <w:t>D. Ashmore, Executive Sponsor</w:t>
            </w:r>
          </w:p>
        </w:tc>
        <w:tc>
          <w:tcPr>
            <w:tcW w:type="dxa" w:w="3216"/>
          </w:tcPr>
          <w:p>
            <w:r>
              <w:rPr>
                <w:sz w:val="17"/>
              </w:rPr>
              <w:t>Escalated; not a workstream decision</w:t>
            </w:r>
          </w:p>
        </w:tc>
      </w:tr>
    </w:tbl>
    <w:p/>
    <w:p>
      <w:pPr>
        <w:spacing w:before="120"/>
        <w:ind w:left="360"/>
      </w:pPr>
      <w:r>
        <w:rPr>
          <w:i/>
          <w:color w:val="12304A"/>
          <w:sz w:val="20"/>
        </w:rPr>
        <w:t>A. Boudreaux is the dependency this plan is most exposed to, and the exposure is structural. The contract history that determines which agreements are genuinely competitive, which providers have threatened to leave before, and which relationships are already strained exists largely in the heads of the Cumberland Valley contracting team. It is not in the rate schedules. That team is retention-covered, which buys time to transfer the knowledge and does not buy loyalty; the transfer is a named deliverable with acceptance criteria rather than a hope that the conversations happen. If that transfer does not complete, the workstream is negotiating from rate tables alone against counterparties who remember the whole relationship.</w:t>
      </w:r>
    </w:p>
    <w:p>
      <w:r>
        <w:t>Related artifacts: 20 — Application Disposition Matrix · 13 — Synergy Realization Plan · 19 — Retention &amp; Key Talent · BRD-05 — Preserved and Best-of-Both Capabilities</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