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REQUIREMENTS · TRACEABILITY MATRIX ·</w:t>
      </w:r>
    </w:p>
    <w:p>
      <w:r>
        <w:rPr>
          <w:b/>
          <w:color w:val="12304A"/>
          <w:sz w:val="44"/>
        </w:rPr>
        <w:t>Requirements Traceability Matrix</w:t>
      </w:r>
    </w:p>
    <w:p>
      <w:r>
        <w:rPr>
          <w:i/>
          <w:color w:val="6B7280"/>
          <w:sz w:val="17"/>
        </w:rPr>
        <w:t>Illustrative program data — created to demonstrate M&amp;A integration program management practice. ACME Health and Cumberland Valley Health Plan are fictional entities; no real transaction, rate, or member data is represented.</w:t>
      </w:r>
    </w:p>
    <w:p/>
    <w:p>
      <w:r>
        <w:t>169 requirements across five business requirements documents, each traced to the method that verifies it. This matrix is the check that the suite hangs together: a requirement with no verification method is an intention, and a test with no requirement behind it is effort nobody asked for.</w:t>
      </w:r>
    </w:p>
    <w:p>
      <w:pPr>
        <w:spacing w:before="120"/>
        <w:ind w:left="360"/>
      </w:pPr>
      <w:r>
        <w:rPr>
          <w:i/>
          <w:color w:val="12304A"/>
          <w:sz w:val="20"/>
        </w:rPr>
        <w:t>A traceability matrix is only worth reading if it can embarrass the program, and this one has a gaps section because of that. A matrix showing complete coverage of everything usually means the requirements were written to match the tests, or the gaps were quietly excluded from scope. §09 records five places where traceability is genuinely incomplete — including the largest schedule risk on the program, which has no requirement at all because it is a risk rather than a requirement. ⚠ Recording that is more useful than a clean matrix, because a reader tracing schedule exposure through this document would otherwise conclude it is covered.</w:t>
      </w:r>
    </w:p>
    <w:p>
      <w:pPr>
        <w:spacing w:before="320"/>
      </w:pPr>
      <w:r>
        <w:rPr>
          <w:b/>
          <w:color w:val="12304A"/>
          <w:sz w:val="28"/>
        </w:rPr>
        <w:t>01 — Purpose and how this matrix is built</w:t>
      </w:r>
    </w:p>
    <w:p>
      <w:r>
        <w:t>Every requirement in the five business requirements documents appears here with the method that verifies it. The matrix exists to answer three questions an auditor or an incoming program manager will ask: is every requirement verified, is every verification traceable to a requirement, and what is not covered.</w:t>
      </w:r>
    </w:p>
    <w:p>
      <w:pPr>
        <w:spacing w:before="120"/>
        <w:ind w:left="360"/>
      </w:pPr>
      <w:r>
        <w:rPr>
          <w:i/>
          <w:color w:val="12304A"/>
          <w:sz w:val="20"/>
        </w:rPr>
        <w:t>This matrix is derived from the requirements documents rather than maintained alongside them, and that is a deliberate choice about which failure to avoid. A hand-maintained matrix is written once, accurately, and then diverges: a requirement is renumbered, one is added late, another is dropped in review, and nobody re-reads a 169-row table to notice. Deriving it means the matrix cannot claim a requirement that does not exist, and cannot miss one that does — the two failures that make a traceability matrix worse than none, because both are invisible to the reader trusting it.</w:t>
      </w:r>
    </w:p>
    <w:p>
      <w:pPr>
        <w:spacing w:before="320"/>
      </w:pPr>
      <w:r>
        <w:rPr>
          <w:b/>
          <w:color w:val="12304A"/>
          <w:sz w:val="28"/>
        </w:rPr>
        <w:t>02 — Coverage summary</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t>Workstream</w:t>
            </w:r>
          </w:p>
        </w:tc>
        <w:tc>
          <w:tcPr>
            <w:tcW w:type="dxa" w:w="1930"/>
          </w:tcPr>
          <w:p>
            <w:r>
              <w:rPr>
                <w:b/>
                <w:sz w:val="17"/>
              </w:rPr>
              <w:t>BRD</w:t>
            </w:r>
          </w:p>
        </w:tc>
        <w:tc>
          <w:tcPr>
            <w:tcW w:type="dxa" w:w="1930"/>
          </w:tcPr>
          <w:p>
            <w:r>
              <w:rPr>
                <w:b/>
                <w:sz w:val="17"/>
              </w:rPr>
              <w:t>Requirements</w:t>
            </w:r>
          </w:p>
        </w:tc>
        <w:tc>
          <w:tcPr>
            <w:tcW w:type="dxa" w:w="1930"/>
          </w:tcPr>
          <w:p>
            <w:r>
              <w:rPr>
                <w:b/>
                <w:sz w:val="17"/>
              </w:rPr>
              <w:t>Must</w:t>
            </w:r>
          </w:p>
        </w:tc>
        <w:tc>
          <w:tcPr>
            <w:tcW w:type="dxa" w:w="1930"/>
          </w:tcPr>
          <w:p>
            <w:r>
              <w:rPr>
                <w:b/>
                <w:sz w:val="17"/>
              </w:rPr>
              <w:t>Traced to a method</w:t>
            </w:r>
          </w:p>
        </w:tc>
      </w:tr>
      <w:tr>
        <w:tc>
          <w:tcPr>
            <w:tcW w:type="dxa" w:w="1930"/>
          </w:tcPr>
          <w:p>
            <w:r>
              <w:rPr>
                <w:sz w:val="17"/>
              </w:rPr>
              <w:t>Member Identity Resolution &amp; EMPI</w:t>
            </w:r>
          </w:p>
        </w:tc>
        <w:tc>
          <w:tcPr>
            <w:tcW w:type="dxa" w:w="1930"/>
          </w:tcPr>
          <w:p>
            <w:r>
              <w:rPr>
                <w:sz w:val="17"/>
              </w:rPr>
              <w:t>BRD-01</w:t>
            </w:r>
          </w:p>
        </w:tc>
        <w:tc>
          <w:tcPr>
            <w:tcW w:type="dxa" w:w="1930"/>
          </w:tcPr>
          <w:p>
            <w:r>
              <w:rPr>
                <w:sz w:val="17"/>
              </w:rPr>
              <w:t>32</w:t>
            </w:r>
          </w:p>
        </w:tc>
        <w:tc>
          <w:tcPr>
            <w:tcW w:type="dxa" w:w="1930"/>
          </w:tcPr>
          <w:p>
            <w:r>
              <w:rPr>
                <w:sz w:val="17"/>
              </w:rPr>
              <w:t>29</w:t>
            </w:r>
          </w:p>
        </w:tc>
        <w:tc>
          <w:tcPr>
            <w:tcW w:type="dxa" w:w="1930"/>
          </w:tcPr>
          <w:p>
            <w:r>
              <w:rPr>
                <w:sz w:val="17"/>
              </w:rPr>
              <w:t>32</w:t>
            </w:r>
          </w:p>
        </w:tc>
      </w:tr>
      <w:tr>
        <w:tc>
          <w:tcPr>
            <w:tcW w:type="dxa" w:w="1930"/>
          </w:tcPr>
          <w:p>
            <w:r>
              <w:rPr>
                <w:sz w:val="17"/>
              </w:rPr>
              <w:t>Core Administration Consolidation</w:t>
            </w:r>
          </w:p>
        </w:tc>
        <w:tc>
          <w:tcPr>
            <w:tcW w:type="dxa" w:w="1930"/>
          </w:tcPr>
          <w:p>
            <w:r>
              <w:rPr>
                <w:sz w:val="17"/>
              </w:rPr>
              <w:t>BRD-02</w:t>
            </w:r>
          </w:p>
        </w:tc>
        <w:tc>
          <w:tcPr>
            <w:tcW w:type="dxa" w:w="1930"/>
          </w:tcPr>
          <w:p>
            <w:r>
              <w:rPr>
                <w:sz w:val="17"/>
              </w:rPr>
              <w:t>41</w:t>
            </w:r>
          </w:p>
        </w:tc>
        <w:tc>
          <w:tcPr>
            <w:tcW w:type="dxa" w:w="1930"/>
          </w:tcPr>
          <w:p>
            <w:r>
              <w:rPr>
                <w:sz w:val="17"/>
              </w:rPr>
              <w:t>39</w:t>
            </w:r>
          </w:p>
        </w:tc>
        <w:tc>
          <w:tcPr>
            <w:tcW w:type="dxa" w:w="1930"/>
          </w:tcPr>
          <w:p>
            <w:r>
              <w:rPr>
                <w:sz w:val="17"/>
              </w:rPr>
              <w:t>41</w:t>
            </w:r>
          </w:p>
        </w:tc>
      </w:tr>
      <w:tr>
        <w:tc>
          <w:tcPr>
            <w:tcW w:type="dxa" w:w="1930"/>
          </w:tcPr>
          <w:p>
            <w:r>
              <w:rPr>
                <w:sz w:val="17"/>
              </w:rPr>
              <w:t>Integration Layer &amp; Interfaces</w:t>
            </w:r>
          </w:p>
        </w:tc>
        <w:tc>
          <w:tcPr>
            <w:tcW w:type="dxa" w:w="1930"/>
          </w:tcPr>
          <w:p>
            <w:r>
              <w:rPr>
                <w:sz w:val="17"/>
              </w:rPr>
              <w:t>BRD-03</w:t>
            </w:r>
          </w:p>
        </w:tc>
        <w:tc>
          <w:tcPr>
            <w:tcW w:type="dxa" w:w="1930"/>
          </w:tcPr>
          <w:p>
            <w:r>
              <w:rPr>
                <w:sz w:val="17"/>
              </w:rPr>
              <w:t>29</w:t>
            </w:r>
          </w:p>
        </w:tc>
        <w:tc>
          <w:tcPr>
            <w:tcW w:type="dxa" w:w="1930"/>
          </w:tcPr>
          <w:p>
            <w:r>
              <w:rPr>
                <w:sz w:val="17"/>
              </w:rPr>
              <w:t>27</w:t>
            </w:r>
          </w:p>
        </w:tc>
        <w:tc>
          <w:tcPr>
            <w:tcW w:type="dxa" w:w="1930"/>
          </w:tcPr>
          <w:p>
            <w:r>
              <w:rPr>
                <w:sz w:val="17"/>
              </w:rPr>
              <w:t>29</w:t>
            </w:r>
          </w:p>
        </w:tc>
      </w:tr>
      <w:tr>
        <w:tc>
          <w:tcPr>
            <w:tcW w:type="dxa" w:w="1930"/>
          </w:tcPr>
          <w:p>
            <w:r>
              <w:rPr>
                <w:sz w:val="17"/>
              </w:rPr>
              <w:t>Enterprise Data Warehouse</w:t>
            </w:r>
          </w:p>
        </w:tc>
        <w:tc>
          <w:tcPr>
            <w:tcW w:type="dxa" w:w="1930"/>
          </w:tcPr>
          <w:p>
            <w:r>
              <w:rPr>
                <w:sz w:val="17"/>
              </w:rPr>
              <w:t>BRD-04</w:t>
            </w:r>
          </w:p>
        </w:tc>
        <w:tc>
          <w:tcPr>
            <w:tcW w:type="dxa" w:w="1930"/>
          </w:tcPr>
          <w:p>
            <w:r>
              <w:rPr>
                <w:sz w:val="17"/>
              </w:rPr>
              <w:t>37</w:t>
            </w:r>
          </w:p>
        </w:tc>
        <w:tc>
          <w:tcPr>
            <w:tcW w:type="dxa" w:w="1930"/>
          </w:tcPr>
          <w:p>
            <w:r>
              <w:rPr>
                <w:sz w:val="17"/>
              </w:rPr>
              <w:t>35</w:t>
            </w:r>
          </w:p>
        </w:tc>
        <w:tc>
          <w:tcPr>
            <w:tcW w:type="dxa" w:w="1930"/>
          </w:tcPr>
          <w:p>
            <w:r>
              <w:rPr>
                <w:sz w:val="17"/>
              </w:rPr>
              <w:t>37</w:t>
            </w:r>
          </w:p>
        </w:tc>
      </w:tr>
      <w:tr>
        <w:tc>
          <w:tcPr>
            <w:tcW w:type="dxa" w:w="1930"/>
          </w:tcPr>
          <w:p>
            <w:r>
              <w:rPr>
                <w:sz w:val="17"/>
              </w:rPr>
              <w:t>Preserved &amp; Best-of-Both Capabilities</w:t>
            </w:r>
          </w:p>
        </w:tc>
        <w:tc>
          <w:tcPr>
            <w:tcW w:type="dxa" w:w="1930"/>
          </w:tcPr>
          <w:p>
            <w:r>
              <w:rPr>
                <w:sz w:val="17"/>
              </w:rPr>
              <w:t>BRD-05</w:t>
            </w:r>
          </w:p>
        </w:tc>
        <w:tc>
          <w:tcPr>
            <w:tcW w:type="dxa" w:w="1930"/>
          </w:tcPr>
          <w:p>
            <w:r>
              <w:rPr>
                <w:sz w:val="17"/>
              </w:rPr>
              <w:t>30</w:t>
            </w:r>
          </w:p>
        </w:tc>
        <w:tc>
          <w:tcPr>
            <w:tcW w:type="dxa" w:w="1930"/>
          </w:tcPr>
          <w:p>
            <w:r>
              <w:rPr>
                <w:sz w:val="17"/>
              </w:rPr>
              <w:t>26</w:t>
            </w:r>
          </w:p>
        </w:tc>
        <w:tc>
          <w:tcPr>
            <w:tcW w:type="dxa" w:w="1930"/>
          </w:tcPr>
          <w:p>
            <w:r>
              <w:rPr>
                <w:sz w:val="17"/>
              </w:rPr>
              <w:t>30</w:t>
            </w:r>
          </w:p>
        </w:tc>
      </w:tr>
      <w:tr>
        <w:tc>
          <w:tcPr>
            <w:tcW w:type="dxa" w:w="1930"/>
          </w:tcPr>
          <w:p>
            <w:r>
              <w:rPr>
                <w:sz w:val="17"/>
              </w:rPr>
              <w:t>Total</w:t>
            </w:r>
          </w:p>
        </w:tc>
        <w:tc>
          <w:tcPr>
            <w:tcW w:type="dxa" w:w="1930"/>
          </w:tcPr>
          <w:p>
            <w:r>
              <w:rPr>
                <w:sz w:val="17"/>
              </w:rPr>
            </w:r>
          </w:p>
        </w:tc>
        <w:tc>
          <w:tcPr>
            <w:tcW w:type="dxa" w:w="1930"/>
          </w:tcPr>
          <w:p>
            <w:r>
              <w:rPr>
                <w:sz w:val="17"/>
              </w:rPr>
              <w:t>169</w:t>
            </w:r>
          </w:p>
        </w:tc>
        <w:tc>
          <w:tcPr>
            <w:tcW w:type="dxa" w:w="1930"/>
          </w:tcPr>
          <w:p>
            <w:r>
              <w:rPr>
                <w:sz w:val="17"/>
              </w:rPr>
              <w:t>156</w:t>
            </w:r>
          </w:p>
        </w:tc>
        <w:tc>
          <w:tcPr>
            <w:tcW w:type="dxa" w:w="1930"/>
          </w:tcPr>
          <w:p>
            <w:r>
              <w:rPr>
                <w:sz w:val="17"/>
              </w:rPr>
              <w:t>169</w:t>
            </w:r>
          </w:p>
        </w:tc>
      </w:tr>
    </w:tbl>
    <w:p/>
    <w:p>
      <w:pPr>
        <w:spacing w:before="320"/>
      </w:pPr>
      <w:r>
        <w:rPr>
          <w:b/>
          <w:color w:val="12304A"/>
          <w:sz w:val="28"/>
        </w:rPr>
        <w:t>03 — Verification method distribution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Verification method</w:t>
            </w:r>
          </w:p>
        </w:tc>
        <w:tc>
          <w:tcPr>
            <w:tcW w:type="dxa" w:w="3216"/>
          </w:tcPr>
          <w:p>
            <w:r>
              <w:rPr>
                <w:b/>
                <w:sz w:val="17"/>
              </w:rPr>
              <w:t>Requirements</w:t>
            </w:r>
          </w:p>
        </w:tc>
        <w:tc>
          <w:tcPr>
            <w:tcW w:type="dxa" w:w="3216"/>
          </w:tcPr>
          <w:p>
            <w:r>
              <w:rPr>
                <w:b/>
                <w:sz w:val="17"/>
              </w:rPr>
              <w:t>What it means here</w:t>
            </w:r>
          </w:p>
        </w:tc>
      </w:tr>
      <w:tr>
        <w:tc>
          <w:tcPr>
            <w:tcW w:type="dxa" w:w="3216"/>
          </w:tcPr>
          <w:p>
            <w:r>
              <w:rPr>
                <w:sz w:val="17"/>
              </w:rPr>
              <w:t>Demonstration</w:t>
            </w:r>
          </w:p>
        </w:tc>
        <w:tc>
          <w:tcPr>
            <w:tcW w:type="dxa" w:w="3216"/>
          </w:tcPr>
          <w:p>
            <w:r>
              <w:rPr>
                <w:sz w:val="17"/>
              </w:rPr>
              <w:t>14</w:t>
            </w:r>
          </w:p>
        </w:tc>
        <w:tc>
          <w:tcPr>
            <w:tcW w:type="dxa" w:w="3216"/>
          </w:tcPr>
          <w:p>
            <w:r>
              <w:rPr>
                <w:sz w:val="17"/>
              </w:rPr>
              <w:t>Shown working under realistic conditions — parallel run, restore test, rehearsal, deliberate failure injection</w:t>
            </w:r>
          </w:p>
        </w:tc>
      </w:tr>
      <w:tr>
        <w:tc>
          <w:tcPr>
            <w:tcW w:type="dxa" w:w="3216"/>
          </w:tcPr>
          <w:p>
            <w:r>
              <w:rPr>
                <w:sz w:val="17"/>
              </w:rPr>
              <w:t>Test</w:t>
            </w:r>
          </w:p>
        </w:tc>
        <w:tc>
          <w:tcPr>
            <w:tcW w:type="dxa" w:w="3216"/>
          </w:tcPr>
          <w:p>
            <w:r>
              <w:rPr>
                <w:sz w:val="17"/>
              </w:rPr>
              <w:t>87</w:t>
            </w:r>
          </w:p>
        </w:tc>
        <w:tc>
          <w:tcPr>
            <w:tcW w:type="dxa" w:w="3216"/>
          </w:tcPr>
          <w:p>
            <w:r>
              <w:rPr>
                <w:sz w:val="17"/>
              </w:rPr>
              <w:t>Executed against defined cases with a pass criterion</w:t>
            </w:r>
          </w:p>
        </w:tc>
      </w:tr>
      <w:tr>
        <w:tc>
          <w:tcPr>
            <w:tcW w:type="dxa" w:w="3216"/>
          </w:tcPr>
          <w:p>
            <w:r>
              <w:rPr>
                <w:sz w:val="17"/>
              </w:rPr>
              <w:t>Inspection</w:t>
            </w:r>
          </w:p>
        </w:tc>
        <w:tc>
          <w:tcPr>
            <w:tcW w:type="dxa" w:w="3216"/>
          </w:tcPr>
          <w:p>
            <w:r>
              <w:rPr>
                <w:sz w:val="17"/>
              </w:rPr>
              <w:t>39</w:t>
            </w:r>
          </w:p>
        </w:tc>
        <w:tc>
          <w:tcPr>
            <w:tcW w:type="dxa" w:w="3216"/>
          </w:tcPr>
          <w:p>
            <w:r>
              <w:rPr>
                <w:sz w:val="17"/>
              </w:rPr>
              <w:t>Evidence exists and is examined — a register, a signed definition, a runbook, a named owner</w:t>
            </w:r>
          </w:p>
        </w:tc>
      </w:tr>
      <w:tr>
        <w:tc>
          <w:tcPr>
            <w:tcW w:type="dxa" w:w="3216"/>
          </w:tcPr>
          <w:p>
            <w:r>
              <w:rPr>
                <w:sz w:val="17"/>
              </w:rPr>
              <w:t>Analysis</w:t>
            </w:r>
          </w:p>
        </w:tc>
        <w:tc>
          <w:tcPr>
            <w:tcW w:type="dxa" w:w="3216"/>
          </w:tcPr>
          <w:p>
            <w:r>
              <w:rPr>
                <w:sz w:val="17"/>
              </w:rPr>
              <w:t>19</w:t>
            </w:r>
          </w:p>
        </w:tc>
        <w:tc>
          <w:tcPr>
            <w:tcW w:type="dxa" w:w="3216"/>
          </w:tcPr>
          <w:p>
            <w:r>
              <w:rPr>
                <w:sz w:val="17"/>
              </w:rPr>
              <w:t>Measured against a numeric threshold — latency, throughput, adequacy, a rate against a baseline</w:t>
            </w:r>
          </w:p>
        </w:tc>
      </w:tr>
      <w:tr>
        <w:tc>
          <w:tcPr>
            <w:tcW w:type="dxa" w:w="3216"/>
          </w:tcPr>
          <w:p>
            <w:r>
              <w:rPr>
                <w:sz w:val="17"/>
              </w:rPr>
              <w:t>Audit</w:t>
            </w:r>
          </w:p>
        </w:tc>
        <w:tc>
          <w:tcPr>
            <w:tcW w:type="dxa" w:w="3216"/>
          </w:tcPr>
          <w:p>
            <w:r>
              <w:rPr>
                <w:sz w:val="17"/>
              </w:rPr>
              <w:t>10</w:t>
            </w:r>
          </w:p>
        </w:tc>
        <w:tc>
          <w:tcPr>
            <w:tcW w:type="dxa" w:w="3216"/>
          </w:tcPr>
          <w:p>
            <w:r>
              <w:rPr>
                <w:sz w:val="17"/>
              </w:rPr>
              <w:t>⚠ Verified by a party outside the team that delivers it</w:t>
            </w:r>
          </w:p>
        </w:tc>
      </w:tr>
    </w:tbl>
    <w:p/>
    <w:p>
      <w:pPr>
        <w:spacing w:before="120"/>
        <w:ind w:left="360"/>
      </w:pPr>
      <w:r>
        <w:rPr>
          <w:i/>
          <w:color w:val="12304A"/>
          <w:sz w:val="20"/>
        </w:rPr>
        <w:t>The Audit row is small and it is the one that matters most. Those requirements are verified by a party outside the team that delivers them — principally the false-positive audit on identity matching, which is checked by the Privacy Officer's function rather than by the data workstream. Classifying it as "Test" would have been tidier and would have hidden the only thing that makes it work: every other quality signal on that workstream improves by matching more aggressively, so the one measure that gets worse cannot be owned by the people whose thresholds cause it.</w:t>
      </w:r>
    </w:p>
    <w:p>
      <w:pPr>
        <w:spacing w:before="320"/>
      </w:pPr>
      <w:r>
        <w:rPr>
          <w:b/>
          <w:color w:val="12304A"/>
          <w:sz w:val="28"/>
        </w:rPr>
        <w:t>04 — BRD-01 Member Identity Resolution &amp; EMPI (32 requirements · owner Dr. A. Ravindran)</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Req ID</w:t>
            </w:r>
          </w:p>
        </w:tc>
        <w:tc>
          <w:tcPr>
            <w:tcW w:type="dxa" w:w="2412"/>
          </w:tcPr>
          <w:p>
            <w:r>
              <w:rPr>
                <w:b/>
                <w:sz w:val="17"/>
              </w:rPr>
              <w:t>Requirement (from BRD-01)</w:t>
            </w:r>
          </w:p>
        </w:tc>
        <w:tc>
          <w:tcPr>
            <w:tcW w:type="dxa" w:w="2412"/>
          </w:tcPr>
          <w:p>
            <w:r>
              <w:rPr>
                <w:b/>
                <w:sz w:val="17"/>
              </w:rPr>
              <w:t>Priority</w:t>
            </w:r>
          </w:p>
        </w:tc>
        <w:tc>
          <w:tcPr>
            <w:tcW w:type="dxa" w:w="2412"/>
          </w:tcPr>
          <w:p>
            <w:r>
              <w:rPr>
                <w:b/>
                <w:sz w:val="17"/>
              </w:rPr>
              <w:t>Verification method</w:t>
            </w:r>
          </w:p>
        </w:tc>
      </w:tr>
      <w:tr>
        <w:tc>
          <w:tcPr>
            <w:tcW w:type="dxa" w:w="2412"/>
          </w:tcPr>
          <w:p>
            <w:r>
              <w:rPr>
                <w:sz w:val="17"/>
              </w:rPr>
              <w:t>FR-01</w:t>
            </w:r>
          </w:p>
        </w:tc>
        <w:tc>
          <w:tcPr>
            <w:tcW w:type="dxa" w:w="2412"/>
          </w:tcPr>
          <w:p>
            <w:r>
              <w:rPr>
                <w:sz w:val="17"/>
              </w:rPr>
              <w:t>Internal resolution before cross-entity matching⚠ Target duplicates are resolved within the target population first. Matching two dirty populations against ea</w:t>
            </w:r>
          </w:p>
        </w:tc>
        <w:tc>
          <w:tcPr>
            <w:tcW w:type="dxa" w:w="2412"/>
          </w:tcPr>
          <w:p>
            <w:r>
              <w:rPr>
                <w:sz w:val="17"/>
              </w:rPr>
              <w:t>Must</w:t>
            </w:r>
          </w:p>
        </w:tc>
        <w:tc>
          <w:tcPr>
            <w:tcW w:type="dxa" w:w="2412"/>
          </w:tcPr>
          <w:p>
            <w:r>
              <w:rPr>
                <w:sz w:val="17"/>
              </w:rPr>
              <w:t>Test</w:t>
            </w:r>
          </w:p>
        </w:tc>
      </w:tr>
      <w:tr>
        <w:tc>
          <w:tcPr>
            <w:tcW w:type="dxa" w:w="2412"/>
          </w:tcPr>
          <w:p>
            <w:r>
              <w:rPr>
                <w:sz w:val="17"/>
              </w:rPr>
              <w:t>FR-02</w:t>
            </w:r>
          </w:p>
        </w:tc>
        <w:tc>
          <w:tcPr>
            <w:tcW w:type="dxa" w:w="2412"/>
          </w:tcPr>
          <w:p>
            <w:r>
              <w:rPr>
                <w:sz w:val="17"/>
              </w:rPr>
              <w:t>Deterministic passExact match on government identifier plus date of birth, or on a shared member identifier. Expected to resolve</w:t>
            </w:r>
          </w:p>
        </w:tc>
        <w:tc>
          <w:tcPr>
            <w:tcW w:type="dxa" w:w="2412"/>
          </w:tcPr>
          <w:p>
            <w:r>
              <w:rPr>
                <w:sz w:val="17"/>
              </w:rPr>
              <w:t>Must</w:t>
            </w:r>
          </w:p>
        </w:tc>
        <w:tc>
          <w:tcPr>
            <w:tcW w:type="dxa" w:w="2412"/>
          </w:tcPr>
          <w:p>
            <w:r>
              <w:rPr>
                <w:sz w:val="17"/>
              </w:rPr>
              <w:t>Test</w:t>
            </w:r>
          </w:p>
        </w:tc>
      </w:tr>
      <w:tr>
        <w:tc>
          <w:tcPr>
            <w:tcW w:type="dxa" w:w="2412"/>
          </w:tcPr>
          <w:p>
            <w:r>
              <w:rPr>
                <w:sz w:val="17"/>
              </w:rPr>
              <w:t>FR-03</w:t>
            </w:r>
          </w:p>
        </w:tc>
        <w:tc>
          <w:tcPr>
            <w:tcW w:type="dxa" w:w="2412"/>
          </w:tcPr>
          <w:p>
            <w:r>
              <w:rPr>
                <w:sz w:val="17"/>
              </w:rPr>
              <w:t>Name standardizationNickname and diminutive tables, suffix and prefix handling, phonetic encoding for surname variation</w:t>
            </w:r>
          </w:p>
        </w:tc>
        <w:tc>
          <w:tcPr>
            <w:tcW w:type="dxa" w:w="2412"/>
          </w:tcPr>
          <w:p>
            <w:r>
              <w:rPr>
                <w:sz w:val="17"/>
              </w:rPr>
              <w:t>Must</w:t>
            </w:r>
          </w:p>
        </w:tc>
        <w:tc>
          <w:tcPr>
            <w:tcW w:type="dxa" w:w="2412"/>
          </w:tcPr>
          <w:p>
            <w:r>
              <w:rPr>
                <w:sz w:val="17"/>
              </w:rPr>
              <w:t>Test</w:t>
            </w:r>
          </w:p>
        </w:tc>
      </w:tr>
      <w:tr>
        <w:tc>
          <w:tcPr>
            <w:tcW w:type="dxa" w:w="2412"/>
          </w:tcPr>
          <w:p>
            <w:r>
              <w:rPr>
                <w:sz w:val="17"/>
              </w:rPr>
              <w:t>FR-04</w:t>
            </w:r>
          </w:p>
        </w:tc>
        <w:tc>
          <w:tcPr>
            <w:tcW w:type="dxa" w:w="2412"/>
          </w:tcPr>
          <w:p>
            <w:r>
              <w:rPr>
                <w:sz w:val="17"/>
              </w:rPr>
              <w:t>Address standardizationPostal reference validation and change-of-address lookup applied to both populations before comparison</w:t>
            </w:r>
          </w:p>
        </w:tc>
        <w:tc>
          <w:tcPr>
            <w:tcW w:type="dxa" w:w="2412"/>
          </w:tcPr>
          <w:p>
            <w:r>
              <w:rPr>
                <w:sz w:val="17"/>
              </w:rPr>
              <w:t>Must</w:t>
            </w:r>
          </w:p>
        </w:tc>
        <w:tc>
          <w:tcPr>
            <w:tcW w:type="dxa" w:w="2412"/>
          </w:tcPr>
          <w:p>
            <w:r>
              <w:rPr>
                <w:sz w:val="17"/>
              </w:rPr>
              <w:t>Test</w:t>
            </w:r>
          </w:p>
        </w:tc>
      </w:tr>
      <w:tr>
        <w:tc>
          <w:tcPr>
            <w:tcW w:type="dxa" w:w="2412"/>
          </w:tcPr>
          <w:p>
            <w:r>
              <w:rPr>
                <w:sz w:val="17"/>
              </w:rPr>
              <w:t>FR-05</w:t>
            </w:r>
          </w:p>
        </w:tc>
        <w:tc>
          <w:tcPr>
            <w:tcW w:type="dxa" w:w="2412"/>
          </w:tcPr>
          <w:p>
            <w:r>
              <w:rPr>
                <w:sz w:val="17"/>
              </w:rPr>
              <w:t>Blocking⚠ Candidate pairs generated by blocking keys. Pairwise comparison of 1,800,000 against 420,000 is not computat</w:t>
            </w:r>
          </w:p>
        </w:tc>
        <w:tc>
          <w:tcPr>
            <w:tcW w:type="dxa" w:w="2412"/>
          </w:tcPr>
          <w:p>
            <w:r>
              <w:rPr>
                <w:sz w:val="17"/>
              </w:rPr>
              <w:t>Must</w:t>
            </w:r>
          </w:p>
        </w:tc>
        <w:tc>
          <w:tcPr>
            <w:tcW w:type="dxa" w:w="2412"/>
          </w:tcPr>
          <w:p>
            <w:r>
              <w:rPr>
                <w:sz w:val="17"/>
              </w:rPr>
              <w:t>Test</w:t>
            </w:r>
          </w:p>
        </w:tc>
      </w:tr>
      <w:tr>
        <w:tc>
          <w:tcPr>
            <w:tcW w:type="dxa" w:w="2412"/>
          </w:tcPr>
          <w:p>
            <w:r>
              <w:rPr>
                <w:sz w:val="17"/>
              </w:rPr>
              <w:t>FR-06</w:t>
            </w:r>
          </w:p>
        </w:tc>
        <w:tc>
          <w:tcPr>
            <w:tcW w:type="dxa" w:w="2412"/>
          </w:tcPr>
          <w:p>
            <w:r>
              <w:rPr>
                <w:sz w:val="17"/>
              </w:rPr>
              <w:t>Probabilistic scoringWeighted agreement and disagreement per attribute, producing a single comparison score</w:t>
            </w:r>
          </w:p>
        </w:tc>
        <w:tc>
          <w:tcPr>
            <w:tcW w:type="dxa" w:w="2412"/>
          </w:tcPr>
          <w:p>
            <w:r>
              <w:rPr>
                <w:sz w:val="17"/>
              </w:rPr>
              <w:t>Must</w:t>
            </w:r>
          </w:p>
        </w:tc>
        <w:tc>
          <w:tcPr>
            <w:tcW w:type="dxa" w:w="2412"/>
          </w:tcPr>
          <w:p>
            <w:r>
              <w:rPr>
                <w:sz w:val="17"/>
              </w:rPr>
              <w:t>Inspection</w:t>
            </w:r>
          </w:p>
        </w:tc>
      </w:tr>
      <w:tr>
        <w:tc>
          <w:tcPr>
            <w:tcW w:type="dxa" w:w="2412"/>
          </w:tcPr>
          <w:p>
            <w:r>
              <w:rPr>
                <w:sz w:val="17"/>
              </w:rPr>
              <w:t>FR-07</w:t>
            </w:r>
          </w:p>
        </w:tc>
        <w:tc>
          <w:tcPr>
            <w:tcW w:type="dxa" w:w="2412"/>
          </w:tcPr>
          <w:p>
            <w:r>
              <w:rPr>
                <w:sz w:val="17"/>
              </w:rPr>
              <w:t>Three configurable thresholdsAuto-match above the upper threshold, auto-reject below the lower, clerical review between them. Approximately</w:t>
            </w:r>
          </w:p>
        </w:tc>
        <w:tc>
          <w:tcPr>
            <w:tcW w:type="dxa" w:w="2412"/>
          </w:tcPr>
          <w:p>
            <w:r>
              <w:rPr>
                <w:sz w:val="17"/>
              </w:rPr>
              <w:t>Must</w:t>
            </w:r>
          </w:p>
        </w:tc>
        <w:tc>
          <w:tcPr>
            <w:tcW w:type="dxa" w:w="2412"/>
          </w:tcPr>
          <w:p>
            <w:r>
              <w:rPr>
                <w:sz w:val="17"/>
              </w:rPr>
              <w:t>Inspection</w:t>
            </w:r>
          </w:p>
        </w:tc>
      </w:tr>
      <w:tr>
        <w:tc>
          <w:tcPr>
            <w:tcW w:type="dxa" w:w="2412"/>
          </w:tcPr>
          <w:p>
            <w:r>
              <w:rPr>
                <w:sz w:val="17"/>
              </w:rPr>
              <w:t>FR-08</w:t>
            </w:r>
          </w:p>
        </w:tc>
        <w:tc>
          <w:tcPr>
            <w:tcW w:type="dxa" w:w="2412"/>
          </w:tcPr>
          <w:p>
            <w:r>
              <w:rPr>
                <w:sz w:val="17"/>
              </w:rPr>
              <w:t>Threshold asymmetry⚠ Thresholds are set so that uncertainty resolves toward review, never toward merge</w:t>
            </w:r>
          </w:p>
        </w:tc>
        <w:tc>
          <w:tcPr>
            <w:tcW w:type="dxa" w:w="2412"/>
          </w:tcPr>
          <w:p>
            <w:r>
              <w:rPr>
                <w:sz w:val="17"/>
              </w:rPr>
              <w:t>Must</w:t>
            </w:r>
          </w:p>
        </w:tc>
        <w:tc>
          <w:tcPr>
            <w:tcW w:type="dxa" w:w="2412"/>
          </w:tcPr>
          <w:p>
            <w:r>
              <w:rPr>
                <w:sz w:val="17"/>
              </w:rPr>
              <w:t>Analysis</w:t>
            </w:r>
          </w:p>
        </w:tc>
      </w:tr>
      <w:tr>
        <w:tc>
          <w:tcPr>
            <w:tcW w:type="dxa" w:w="2412"/>
          </w:tcPr>
          <w:p>
            <w:r>
              <w:rPr>
                <w:sz w:val="17"/>
              </w:rPr>
              <w:t>FR-09</w:t>
            </w:r>
          </w:p>
        </w:tc>
        <w:tc>
          <w:tcPr>
            <w:tcW w:type="dxa" w:w="2412"/>
          </w:tcPr>
          <w:p>
            <w:r>
              <w:rPr>
                <w:sz w:val="17"/>
              </w:rPr>
              <w:t>Every decision auditableScore, contributing attributes, rule version and outcome retained per pair — including auto-decisions</w:t>
            </w:r>
          </w:p>
        </w:tc>
        <w:tc>
          <w:tcPr>
            <w:tcW w:type="dxa" w:w="2412"/>
          </w:tcPr>
          <w:p>
            <w:r>
              <w:rPr>
                <w:sz w:val="17"/>
              </w:rPr>
              <w:t>Must</w:t>
            </w:r>
          </w:p>
        </w:tc>
        <w:tc>
          <w:tcPr>
            <w:tcW w:type="dxa" w:w="2412"/>
          </w:tcPr>
          <w:p>
            <w:r>
              <w:rPr>
                <w:sz w:val="17"/>
              </w:rPr>
              <w:t>Audit</w:t>
            </w:r>
          </w:p>
        </w:tc>
      </w:tr>
      <w:tr>
        <w:tc>
          <w:tcPr>
            <w:tcW w:type="dxa" w:w="2412"/>
          </w:tcPr>
          <w:p>
            <w:r>
              <w:rPr>
                <w:sz w:val="17"/>
              </w:rPr>
              <w:t>FR-10</w:t>
            </w:r>
          </w:p>
        </w:tc>
        <w:tc>
          <w:tcPr>
            <w:tcW w:type="dxa" w:w="2412"/>
          </w:tcPr>
          <w:p>
            <w:r>
              <w:rPr>
                <w:sz w:val="17"/>
              </w:rPr>
              <w:t>Rule versioningA change to rules or thresholds is versioned, and prior decisions identify the version that produced them</w:t>
            </w:r>
          </w:p>
        </w:tc>
        <w:tc>
          <w:tcPr>
            <w:tcW w:type="dxa" w:w="2412"/>
          </w:tcPr>
          <w:p>
            <w:r>
              <w:rPr>
                <w:sz w:val="17"/>
              </w:rPr>
              <w:t>Should</w:t>
            </w:r>
          </w:p>
        </w:tc>
        <w:tc>
          <w:tcPr>
            <w:tcW w:type="dxa" w:w="2412"/>
          </w:tcPr>
          <w:p>
            <w:r>
              <w:rPr>
                <w:sz w:val="17"/>
              </w:rPr>
              <w:t>Inspection</w:t>
            </w:r>
          </w:p>
        </w:tc>
      </w:tr>
      <w:tr>
        <w:tc>
          <w:tcPr>
            <w:tcW w:type="dxa" w:w="2412"/>
          </w:tcPr>
          <w:p>
            <w:r>
              <w:rPr>
                <w:sz w:val="17"/>
              </w:rPr>
              <w:t>FR-11</w:t>
            </w:r>
          </w:p>
        </w:tc>
        <w:tc>
          <w:tcPr>
            <w:tcW w:type="dxa" w:w="2412"/>
          </w:tcPr>
          <w:p>
            <w:r>
              <w:rPr>
                <w:sz w:val="17"/>
              </w:rPr>
              <w:t>Re-run capabilityAbility to re-score a cohort under revised rules without discarding steward decisions</w:t>
            </w:r>
          </w:p>
        </w:tc>
        <w:tc>
          <w:tcPr>
            <w:tcW w:type="dxa" w:w="2412"/>
          </w:tcPr>
          <w:p>
            <w:r>
              <w:rPr>
                <w:sz w:val="17"/>
              </w:rPr>
              <w:t>Should</w:t>
            </w:r>
          </w:p>
        </w:tc>
        <w:tc>
          <w:tcPr>
            <w:tcW w:type="dxa" w:w="2412"/>
          </w:tcPr>
          <w:p>
            <w:r>
              <w:rPr>
                <w:sz w:val="17"/>
              </w:rPr>
              <w:t>Test</w:t>
            </w:r>
          </w:p>
        </w:tc>
      </w:tr>
      <w:tr>
        <w:tc>
          <w:tcPr>
            <w:tcW w:type="dxa" w:w="2412"/>
          </w:tcPr>
          <w:p>
            <w:r>
              <w:rPr>
                <w:sz w:val="17"/>
              </w:rPr>
              <w:t>FR-12</w:t>
            </w:r>
          </w:p>
        </w:tc>
        <w:tc>
          <w:tcPr>
            <w:tcW w:type="dxa" w:w="2412"/>
          </w:tcPr>
          <w:p>
            <w:r>
              <w:rPr>
                <w:sz w:val="17"/>
              </w:rPr>
              <w:t>Survivorship is per attribute⚠ Each field has its own source-of-truth rule. "Newest record wins" applied globally is prohibited.</w:t>
            </w:r>
          </w:p>
        </w:tc>
        <w:tc>
          <w:tcPr>
            <w:tcW w:type="dxa" w:w="2412"/>
          </w:tcPr>
          <w:p>
            <w:r>
              <w:rPr>
                <w:sz w:val="17"/>
              </w:rPr>
              <w:t>Must</w:t>
            </w:r>
          </w:p>
        </w:tc>
        <w:tc>
          <w:tcPr>
            <w:tcW w:type="dxa" w:w="2412"/>
          </w:tcPr>
          <w:p>
            <w:r>
              <w:rPr>
                <w:sz w:val="17"/>
              </w:rPr>
              <w:t>Test</w:t>
            </w:r>
          </w:p>
        </w:tc>
      </w:tr>
      <w:tr>
        <w:tc>
          <w:tcPr>
            <w:tcW w:type="dxa" w:w="2412"/>
          </w:tcPr>
          <w:p>
            <w:r>
              <w:rPr>
                <w:sz w:val="17"/>
              </w:rPr>
              <w:t>FR-13</w:t>
            </w:r>
          </w:p>
        </w:tc>
        <w:tc>
          <w:tcPr>
            <w:tcW w:type="dxa" w:w="2412"/>
          </w:tcPr>
          <w:p>
            <w:r>
              <w:rPr>
                <w:sz w:val="17"/>
              </w:rPr>
              <w:t>Coverage history is a union⚠ Every coverage period from both sources is retained. A merge may never shorten a member's entitlement.</w:t>
            </w:r>
          </w:p>
        </w:tc>
        <w:tc>
          <w:tcPr>
            <w:tcW w:type="dxa" w:w="2412"/>
          </w:tcPr>
          <w:p>
            <w:r>
              <w:rPr>
                <w:sz w:val="17"/>
              </w:rPr>
              <w:t>Must</w:t>
            </w:r>
          </w:p>
        </w:tc>
        <w:tc>
          <w:tcPr>
            <w:tcW w:type="dxa" w:w="2412"/>
          </w:tcPr>
          <w:p>
            <w:r>
              <w:rPr>
                <w:sz w:val="17"/>
              </w:rPr>
              <w:t>Inspection</w:t>
            </w:r>
          </w:p>
        </w:tc>
      </w:tr>
      <w:tr>
        <w:tc>
          <w:tcPr>
            <w:tcW w:type="dxa" w:w="2412"/>
          </w:tcPr>
          <w:p>
            <w:r>
              <w:rPr>
                <w:sz w:val="17"/>
              </w:rPr>
              <w:t>FR-14</w:t>
            </w:r>
          </w:p>
        </w:tc>
        <w:tc>
          <w:tcPr>
            <w:tcW w:type="dxa" w:w="2412"/>
          </w:tcPr>
          <w:p>
            <w:r>
              <w:rPr>
                <w:sz w:val="17"/>
              </w:rPr>
              <w:t>Address from most recent claim activityNot from the most recently updated record — a record touched by a batch process is not evidence of where</w:t>
            </w:r>
          </w:p>
        </w:tc>
        <w:tc>
          <w:tcPr>
            <w:tcW w:type="dxa" w:w="2412"/>
          </w:tcPr>
          <w:p>
            <w:r>
              <w:rPr>
                <w:sz w:val="17"/>
              </w:rPr>
              <w:t>Must</w:t>
            </w:r>
          </w:p>
        </w:tc>
        <w:tc>
          <w:tcPr>
            <w:tcW w:type="dxa" w:w="2412"/>
          </w:tcPr>
          <w:p>
            <w:r>
              <w:rPr>
                <w:sz w:val="17"/>
              </w:rPr>
              <w:t>Test</w:t>
            </w:r>
          </w:p>
        </w:tc>
      </w:tr>
      <w:tr>
        <w:tc>
          <w:tcPr>
            <w:tcW w:type="dxa" w:w="2412"/>
          </w:tcPr>
          <w:p>
            <w:r>
              <w:rPr>
                <w:sz w:val="17"/>
              </w:rPr>
              <w:t>FR-15</w:t>
            </w:r>
          </w:p>
        </w:tc>
        <w:tc>
          <w:tcPr>
            <w:tcW w:type="dxa" w:w="2412"/>
          </w:tcPr>
          <w:p>
            <w:r>
              <w:rPr>
                <w:sz w:val="17"/>
              </w:rPr>
              <w:t>Government identifier from enrollmentEnrollment is the attested source. Claims-sourced identifiers are not authoritative.</w:t>
            </w:r>
          </w:p>
        </w:tc>
        <w:tc>
          <w:tcPr>
            <w:tcW w:type="dxa" w:w="2412"/>
          </w:tcPr>
          <w:p>
            <w:r>
              <w:rPr>
                <w:sz w:val="17"/>
              </w:rPr>
              <w:t>Must</w:t>
            </w:r>
          </w:p>
        </w:tc>
        <w:tc>
          <w:tcPr>
            <w:tcW w:type="dxa" w:w="2412"/>
          </w:tcPr>
          <w:p>
            <w:r>
              <w:rPr>
                <w:sz w:val="17"/>
              </w:rPr>
              <w:t>Test</w:t>
            </w:r>
          </w:p>
        </w:tc>
      </w:tr>
      <w:tr>
        <w:tc>
          <w:tcPr>
            <w:tcW w:type="dxa" w:w="2412"/>
          </w:tcPr>
          <w:p>
            <w:r>
              <w:rPr>
                <w:sz w:val="17"/>
              </w:rPr>
              <w:t>FR-16</w:t>
            </w:r>
          </w:p>
        </w:tc>
        <w:tc>
          <w:tcPr>
            <w:tcW w:type="dxa" w:w="2412"/>
          </w:tcPr>
          <w:p>
            <w:r>
              <w:rPr>
                <w:sz w:val="17"/>
              </w:rPr>
              <w:t>Accumulator balances reconciled, not selected⚠ Running totals are computed from the union of claims, never taken from one side</w:t>
            </w:r>
          </w:p>
        </w:tc>
        <w:tc>
          <w:tcPr>
            <w:tcW w:type="dxa" w:w="2412"/>
          </w:tcPr>
          <w:p>
            <w:r>
              <w:rPr>
                <w:sz w:val="17"/>
              </w:rPr>
              <w:t>Must</w:t>
            </w:r>
          </w:p>
        </w:tc>
        <w:tc>
          <w:tcPr>
            <w:tcW w:type="dxa" w:w="2412"/>
          </w:tcPr>
          <w:p>
            <w:r>
              <w:rPr>
                <w:sz w:val="17"/>
              </w:rPr>
              <w:t>Demonstration</w:t>
            </w:r>
          </w:p>
        </w:tc>
      </w:tr>
      <w:tr>
        <w:tc>
          <w:tcPr>
            <w:tcW w:type="dxa" w:w="2412"/>
          </w:tcPr>
          <w:p>
            <w:r>
              <w:rPr>
                <w:sz w:val="17"/>
              </w:rPr>
              <w:t>FR-17</w:t>
            </w:r>
          </w:p>
        </w:tc>
        <w:tc>
          <w:tcPr>
            <w:tcW w:type="dxa" w:w="2412"/>
          </w:tcPr>
          <w:p>
            <w:r>
              <w:rPr>
                <w:sz w:val="17"/>
              </w:rPr>
              <w:t>Source values retainedEvery non-surviving value is retained and viewable. Survivorship selects what is presented, not what is kept.</w:t>
            </w:r>
          </w:p>
        </w:tc>
        <w:tc>
          <w:tcPr>
            <w:tcW w:type="dxa" w:w="2412"/>
          </w:tcPr>
          <w:p>
            <w:r>
              <w:rPr>
                <w:sz w:val="17"/>
              </w:rPr>
              <w:t>Must</w:t>
            </w:r>
          </w:p>
        </w:tc>
        <w:tc>
          <w:tcPr>
            <w:tcW w:type="dxa" w:w="2412"/>
          </w:tcPr>
          <w:p>
            <w:r>
              <w:rPr>
                <w:sz w:val="17"/>
              </w:rPr>
              <w:t>Inspection</w:t>
            </w:r>
          </w:p>
        </w:tc>
      </w:tr>
      <w:tr>
        <w:tc>
          <w:tcPr>
            <w:tcW w:type="dxa" w:w="2412"/>
          </w:tcPr>
          <w:p>
            <w:r>
              <w:rPr>
                <w:sz w:val="17"/>
              </w:rPr>
              <w:t>FR-18</w:t>
            </w:r>
          </w:p>
        </w:tc>
        <w:tc>
          <w:tcPr>
            <w:tcW w:type="dxa" w:w="2412"/>
          </w:tcPr>
          <w:p>
            <w:r>
              <w:rPr>
                <w:sz w:val="17"/>
              </w:rPr>
              <w:t>Side-by-side comparisonBoth candidate records with agreeing and disagreeing attributes highlighted, plus the score and its contributo</w:t>
            </w:r>
          </w:p>
        </w:tc>
        <w:tc>
          <w:tcPr>
            <w:tcW w:type="dxa" w:w="2412"/>
          </w:tcPr>
          <w:p>
            <w:r>
              <w:rPr>
                <w:sz w:val="17"/>
              </w:rPr>
              <w:t>Must</w:t>
            </w:r>
          </w:p>
        </w:tc>
        <w:tc>
          <w:tcPr>
            <w:tcW w:type="dxa" w:w="2412"/>
          </w:tcPr>
          <w:p>
            <w:r>
              <w:rPr>
                <w:sz w:val="17"/>
              </w:rPr>
              <w:t>Test</w:t>
            </w:r>
          </w:p>
        </w:tc>
      </w:tr>
      <w:tr>
        <w:tc>
          <w:tcPr>
            <w:tcW w:type="dxa" w:w="2412"/>
          </w:tcPr>
          <w:p>
            <w:r>
              <w:rPr>
                <w:sz w:val="17"/>
              </w:rPr>
              <w:t>FR-19</w:t>
            </w:r>
          </w:p>
        </w:tc>
        <w:tc>
          <w:tcPr>
            <w:tcW w:type="dxa" w:w="2412"/>
          </w:tcPr>
          <w:p>
            <w:r>
              <w:rPr>
                <w:sz w:val="17"/>
              </w:rPr>
              <w:t>Three steward outcomesMatch, not a match, ⚠ and refer. A steward who is unsure must not be forced to guess.</w:t>
            </w:r>
          </w:p>
        </w:tc>
        <w:tc>
          <w:tcPr>
            <w:tcW w:type="dxa" w:w="2412"/>
          </w:tcPr>
          <w:p>
            <w:r>
              <w:rPr>
                <w:sz w:val="17"/>
              </w:rPr>
              <w:t>Must</w:t>
            </w:r>
          </w:p>
        </w:tc>
        <w:tc>
          <w:tcPr>
            <w:tcW w:type="dxa" w:w="2412"/>
          </w:tcPr>
          <w:p>
            <w:r>
              <w:rPr>
                <w:sz w:val="17"/>
              </w:rPr>
              <w:t>Test</w:t>
            </w:r>
          </w:p>
        </w:tc>
      </w:tr>
      <w:tr>
        <w:tc>
          <w:tcPr>
            <w:tcW w:type="dxa" w:w="2412"/>
          </w:tcPr>
          <w:p>
            <w:r>
              <w:rPr>
                <w:sz w:val="17"/>
              </w:rPr>
              <w:t>FR-20</w:t>
            </w:r>
          </w:p>
        </w:tc>
        <w:tc>
          <w:tcPr>
            <w:tcW w:type="dxa" w:w="2412"/>
          </w:tcPr>
          <w:p>
            <w:r>
              <w:rPr>
                <w:sz w:val="17"/>
              </w:rPr>
              <w:t>Reason captureA structured reason on every decision, not free text alone. ⚠ Reasons are what make the audit meaningful.</w:t>
            </w:r>
          </w:p>
        </w:tc>
        <w:tc>
          <w:tcPr>
            <w:tcW w:type="dxa" w:w="2412"/>
          </w:tcPr>
          <w:p>
            <w:r>
              <w:rPr>
                <w:sz w:val="17"/>
              </w:rPr>
              <w:t>Must</w:t>
            </w:r>
          </w:p>
        </w:tc>
        <w:tc>
          <w:tcPr>
            <w:tcW w:type="dxa" w:w="2412"/>
          </w:tcPr>
          <w:p>
            <w:r>
              <w:rPr>
                <w:sz w:val="17"/>
              </w:rPr>
              <w:t>Audit</w:t>
            </w:r>
          </w:p>
        </w:tc>
      </w:tr>
      <w:tr>
        <w:tc>
          <w:tcPr>
            <w:tcW w:type="dxa" w:w="2412"/>
          </w:tcPr>
          <w:p>
            <w:r>
              <w:rPr>
                <w:sz w:val="17"/>
              </w:rPr>
              <w:t>FR-21</w:t>
            </w:r>
          </w:p>
        </w:tc>
        <w:tc>
          <w:tcPr>
            <w:tcW w:type="dxa" w:w="2412"/>
          </w:tcPr>
          <w:p>
            <w:r>
              <w:rPr>
                <w:sz w:val="17"/>
              </w:rPr>
              <w:t>Immutable audit trailSteward, timestamp, decision, reason, record version. ⚠ Append-only.</w:t>
            </w:r>
          </w:p>
        </w:tc>
        <w:tc>
          <w:tcPr>
            <w:tcW w:type="dxa" w:w="2412"/>
          </w:tcPr>
          <w:p>
            <w:r>
              <w:rPr>
                <w:sz w:val="17"/>
              </w:rPr>
              <w:t>Must</w:t>
            </w:r>
          </w:p>
        </w:tc>
        <w:tc>
          <w:tcPr>
            <w:tcW w:type="dxa" w:w="2412"/>
          </w:tcPr>
          <w:p>
            <w:r>
              <w:rPr>
                <w:sz w:val="17"/>
              </w:rPr>
              <w:t>Audit</w:t>
            </w:r>
          </w:p>
        </w:tc>
      </w:tr>
      <w:tr>
        <w:tc>
          <w:tcPr>
            <w:tcW w:type="dxa" w:w="2412"/>
          </w:tcPr>
          <w:p>
            <w:r>
              <w:rPr>
                <w:sz w:val="17"/>
              </w:rPr>
              <w:t>FR-22</w:t>
            </w:r>
          </w:p>
        </w:tc>
        <w:tc>
          <w:tcPr>
            <w:tcW w:type="dxa" w:w="2412"/>
          </w:tcPr>
          <w:p>
            <w:r>
              <w:rPr>
                <w:sz w:val="17"/>
              </w:rPr>
              <w:t>Queue prioritization by riskActive members, dual coverage, high-cost claimants and open care management cases worked first</w:t>
            </w:r>
          </w:p>
        </w:tc>
        <w:tc>
          <w:tcPr>
            <w:tcW w:type="dxa" w:w="2412"/>
          </w:tcPr>
          <w:p>
            <w:r>
              <w:rPr>
                <w:sz w:val="17"/>
              </w:rPr>
              <w:t>Must</w:t>
            </w:r>
          </w:p>
        </w:tc>
        <w:tc>
          <w:tcPr>
            <w:tcW w:type="dxa" w:w="2412"/>
          </w:tcPr>
          <w:p>
            <w:r>
              <w:rPr>
                <w:sz w:val="17"/>
              </w:rPr>
              <w:t>Test</w:t>
            </w:r>
          </w:p>
        </w:tc>
      </w:tr>
      <w:tr>
        <w:tc>
          <w:tcPr>
            <w:tcW w:type="dxa" w:w="2412"/>
          </w:tcPr>
          <w:p>
            <w:r>
              <w:rPr>
                <w:sz w:val="17"/>
              </w:rPr>
              <w:t>FR-23</w:t>
            </w:r>
          </w:p>
        </w:tc>
        <w:tc>
          <w:tcPr>
            <w:tcW w:type="dxa" w:w="2412"/>
          </w:tcPr>
          <w:p>
            <w:r>
              <w:rPr>
                <w:sz w:val="17"/>
              </w:rPr>
              <w:t>Throughput and aging visibleQueue volume, decisions per steward per day, and age of oldest item reported daily</w:t>
            </w:r>
          </w:p>
        </w:tc>
        <w:tc>
          <w:tcPr>
            <w:tcW w:type="dxa" w:w="2412"/>
          </w:tcPr>
          <w:p>
            <w:r>
              <w:rPr>
                <w:sz w:val="17"/>
              </w:rPr>
              <w:t>Must</w:t>
            </w:r>
          </w:p>
        </w:tc>
        <w:tc>
          <w:tcPr>
            <w:tcW w:type="dxa" w:w="2412"/>
          </w:tcPr>
          <w:p>
            <w:r>
              <w:rPr>
                <w:sz w:val="17"/>
              </w:rPr>
              <w:t>Analysis</w:t>
            </w:r>
          </w:p>
        </w:tc>
      </w:tr>
      <w:tr>
        <w:tc>
          <w:tcPr>
            <w:tcW w:type="dxa" w:w="2412"/>
          </w:tcPr>
          <w:p>
            <w:r>
              <w:rPr>
                <w:sz w:val="17"/>
              </w:rPr>
              <w:t>FR-24</w:t>
            </w:r>
          </w:p>
        </w:tc>
        <w:tc>
          <w:tcPr>
            <w:tcW w:type="dxa" w:w="2412"/>
          </w:tcPr>
          <w:p>
            <w:r>
              <w:rPr>
                <w:sz w:val="17"/>
              </w:rPr>
              <w:t>Independent false-positive audit⚠ A sample of auto-matched pairs re-reviewed by the Privacy Officer's team — not by the workstream that</w:t>
            </w:r>
          </w:p>
        </w:tc>
        <w:tc>
          <w:tcPr>
            <w:tcW w:type="dxa" w:w="2412"/>
          </w:tcPr>
          <w:p>
            <w:r>
              <w:rPr>
                <w:sz w:val="17"/>
              </w:rPr>
              <w:t>Must</w:t>
            </w:r>
          </w:p>
        </w:tc>
        <w:tc>
          <w:tcPr>
            <w:tcW w:type="dxa" w:w="2412"/>
          </w:tcPr>
          <w:p>
            <w:r>
              <w:rPr>
                <w:sz w:val="17"/>
              </w:rPr>
              <w:t>Audit</w:t>
            </w:r>
          </w:p>
        </w:tc>
      </w:tr>
      <w:tr>
        <w:tc>
          <w:tcPr>
            <w:tcW w:type="dxa" w:w="2412"/>
          </w:tcPr>
          <w:p>
            <w:r>
              <w:rPr>
                <w:sz w:val="17"/>
              </w:rPr>
              <w:t>FR-25</w:t>
            </w:r>
          </w:p>
        </w:tc>
        <w:tc>
          <w:tcPr>
            <w:tcW w:type="dxa" w:w="2412"/>
          </w:tcPr>
          <w:p>
            <w:r>
              <w:rPr>
                <w:sz w:val="17"/>
              </w:rPr>
              <w:t>Second review on high-risk mergesTwo stewards required where both records show active claims history</w:t>
            </w:r>
          </w:p>
        </w:tc>
        <w:tc>
          <w:tcPr>
            <w:tcW w:type="dxa" w:w="2412"/>
          </w:tcPr>
          <w:p>
            <w:r>
              <w:rPr>
                <w:sz w:val="17"/>
              </w:rPr>
              <w:t>Should</w:t>
            </w:r>
          </w:p>
        </w:tc>
        <w:tc>
          <w:tcPr>
            <w:tcW w:type="dxa" w:w="2412"/>
          </w:tcPr>
          <w:p>
            <w:r>
              <w:rPr>
                <w:sz w:val="17"/>
              </w:rPr>
              <w:t>Test</w:t>
            </w:r>
          </w:p>
        </w:tc>
      </w:tr>
      <w:tr>
        <w:tc>
          <w:tcPr>
            <w:tcW w:type="dxa" w:w="2412"/>
          </w:tcPr>
          <w:p>
            <w:r>
              <w:rPr>
                <w:sz w:val="17"/>
              </w:rPr>
              <w:t>NFR-01</w:t>
            </w:r>
          </w:p>
        </w:tc>
        <w:tc>
          <w:tcPr>
            <w:tcW w:type="dxa" w:w="2412"/>
          </w:tcPr>
          <w:p>
            <w:r>
              <w:rPr>
                <w:sz w:val="17"/>
              </w:rPr>
              <w:t>Cross-reference lookup latencyUnder 100 ms at the 95th percentile — it sits in the eligibility path</w:t>
            </w:r>
          </w:p>
        </w:tc>
        <w:tc>
          <w:tcPr>
            <w:tcW w:type="dxa" w:w="2412"/>
          </w:tcPr>
          <w:p>
            <w:r>
              <w:rPr>
                <w:sz w:val="17"/>
              </w:rPr>
              <w:t>Must</w:t>
            </w:r>
          </w:p>
        </w:tc>
        <w:tc>
          <w:tcPr>
            <w:tcW w:type="dxa" w:w="2412"/>
          </w:tcPr>
          <w:p>
            <w:r>
              <w:rPr>
                <w:sz w:val="17"/>
              </w:rPr>
              <w:t>Analysis</w:t>
            </w:r>
          </w:p>
        </w:tc>
      </w:tr>
      <w:tr>
        <w:tc>
          <w:tcPr>
            <w:tcW w:type="dxa" w:w="2412"/>
          </w:tcPr>
          <w:p>
            <w:r>
              <w:rPr>
                <w:sz w:val="17"/>
              </w:rPr>
              <w:t>NFR-02</w:t>
            </w:r>
          </w:p>
        </w:tc>
        <w:tc>
          <w:tcPr>
            <w:tcW w:type="dxa" w:w="2412"/>
          </w:tcPr>
          <w:p>
            <w:r>
              <w:rPr>
                <w:sz w:val="17"/>
              </w:rPr>
              <w:t>Batch matching throughputFull population re-scored within a single weekend window</w:t>
            </w:r>
          </w:p>
        </w:tc>
        <w:tc>
          <w:tcPr>
            <w:tcW w:type="dxa" w:w="2412"/>
          </w:tcPr>
          <w:p>
            <w:r>
              <w:rPr>
                <w:sz w:val="17"/>
              </w:rPr>
              <w:t>Must</w:t>
            </w:r>
          </w:p>
        </w:tc>
        <w:tc>
          <w:tcPr>
            <w:tcW w:type="dxa" w:w="2412"/>
          </w:tcPr>
          <w:p>
            <w:r>
              <w:rPr>
                <w:sz w:val="17"/>
              </w:rPr>
              <w:t>Analysis</w:t>
            </w:r>
          </w:p>
        </w:tc>
      </w:tr>
      <w:tr>
        <w:tc>
          <w:tcPr>
            <w:tcW w:type="dxa" w:w="2412"/>
          </w:tcPr>
          <w:p>
            <w:r>
              <w:rPr>
                <w:sz w:val="17"/>
              </w:rPr>
              <w:t>NFR-03</w:t>
            </w:r>
          </w:p>
        </w:tc>
        <w:tc>
          <w:tcPr>
            <w:tcW w:type="dxa" w:w="2412"/>
          </w:tcPr>
          <w:p>
            <w:r>
              <w:rPr>
                <w:sz w:val="17"/>
              </w:rPr>
              <w:t>Steward workbench availabilityBusiness hours, Tier 1. ⚠ Queue downtime is queue days lost and they cannot be recovered.</w:t>
            </w:r>
          </w:p>
        </w:tc>
        <w:tc>
          <w:tcPr>
            <w:tcW w:type="dxa" w:w="2412"/>
          </w:tcPr>
          <w:p>
            <w:r>
              <w:rPr>
                <w:sz w:val="17"/>
              </w:rPr>
              <w:t>Must</w:t>
            </w:r>
          </w:p>
        </w:tc>
        <w:tc>
          <w:tcPr>
            <w:tcW w:type="dxa" w:w="2412"/>
          </w:tcPr>
          <w:p>
            <w:r>
              <w:rPr>
                <w:sz w:val="17"/>
              </w:rPr>
              <w:t>Test</w:t>
            </w:r>
          </w:p>
        </w:tc>
      </w:tr>
      <w:tr>
        <w:tc>
          <w:tcPr>
            <w:tcW w:type="dxa" w:w="2412"/>
          </w:tcPr>
          <w:p>
            <w:r>
              <w:rPr>
                <w:sz w:val="17"/>
              </w:rPr>
              <w:t>NFR-04</w:t>
            </w:r>
          </w:p>
        </w:tc>
        <w:tc>
          <w:tcPr>
            <w:tcW w:type="dxa" w:w="2412"/>
          </w:tcPr>
          <w:p>
            <w:r>
              <w:rPr>
                <w:sz w:val="17"/>
              </w:rPr>
              <w:t>Audit retentionStatutory period, append-only, restorable</w:t>
            </w:r>
          </w:p>
        </w:tc>
        <w:tc>
          <w:tcPr>
            <w:tcW w:type="dxa" w:w="2412"/>
          </w:tcPr>
          <w:p>
            <w:r>
              <w:rPr>
                <w:sz w:val="17"/>
              </w:rPr>
              <w:t>Must</w:t>
            </w:r>
          </w:p>
        </w:tc>
        <w:tc>
          <w:tcPr>
            <w:tcW w:type="dxa" w:w="2412"/>
          </w:tcPr>
          <w:p>
            <w:r>
              <w:rPr>
                <w:sz w:val="17"/>
              </w:rPr>
              <w:t>Audit</w:t>
            </w:r>
          </w:p>
        </w:tc>
      </w:tr>
      <w:tr>
        <w:tc>
          <w:tcPr>
            <w:tcW w:type="dxa" w:w="2412"/>
          </w:tcPr>
          <w:p>
            <w:r>
              <w:rPr>
                <w:sz w:val="17"/>
              </w:rPr>
              <w:t>NFR-05</w:t>
            </w:r>
          </w:p>
        </w:tc>
        <w:tc>
          <w:tcPr>
            <w:tcW w:type="dxa" w:w="2412"/>
          </w:tcPr>
          <w:p>
            <w:r>
              <w:rPr>
                <w:sz w:val="17"/>
              </w:rPr>
              <w:t>Data residency⚠ United States only, enforced by platform policy rather than by undertaking</w:t>
            </w:r>
          </w:p>
        </w:tc>
        <w:tc>
          <w:tcPr>
            <w:tcW w:type="dxa" w:w="2412"/>
          </w:tcPr>
          <w:p>
            <w:r>
              <w:rPr>
                <w:sz w:val="17"/>
              </w:rPr>
              <w:t>Must</w:t>
            </w:r>
          </w:p>
        </w:tc>
        <w:tc>
          <w:tcPr>
            <w:tcW w:type="dxa" w:w="2412"/>
          </w:tcPr>
          <w:p>
            <w:r>
              <w:rPr>
                <w:sz w:val="17"/>
              </w:rPr>
              <w:t>Test</w:t>
            </w:r>
          </w:p>
        </w:tc>
      </w:tr>
      <w:tr>
        <w:tc>
          <w:tcPr>
            <w:tcW w:type="dxa" w:w="2412"/>
          </w:tcPr>
          <w:p>
            <w:r>
              <w:rPr>
                <w:sz w:val="17"/>
              </w:rPr>
              <w:t>NFR-06</w:t>
            </w:r>
          </w:p>
        </w:tc>
        <w:tc>
          <w:tcPr>
            <w:tcW w:type="dxa" w:w="2412"/>
          </w:tcPr>
          <w:p>
            <w:r>
              <w:rPr>
                <w:sz w:val="17"/>
              </w:rPr>
              <w:t>RecoveryPer service tier, with a tested restore before go-live — not a configured backup</w:t>
            </w:r>
          </w:p>
        </w:tc>
        <w:tc>
          <w:tcPr>
            <w:tcW w:type="dxa" w:w="2412"/>
          </w:tcPr>
          <w:p>
            <w:r>
              <w:rPr>
                <w:sz w:val="17"/>
              </w:rPr>
              <w:t>Must</w:t>
            </w:r>
          </w:p>
        </w:tc>
        <w:tc>
          <w:tcPr>
            <w:tcW w:type="dxa" w:w="2412"/>
          </w:tcPr>
          <w:p>
            <w:r>
              <w:rPr>
                <w:sz w:val="17"/>
              </w:rPr>
              <w:t>Test</w:t>
            </w:r>
          </w:p>
        </w:tc>
      </w:tr>
      <w:tr>
        <w:tc>
          <w:tcPr>
            <w:tcW w:type="dxa" w:w="2412"/>
          </w:tcPr>
          <w:p>
            <w:r>
              <w:rPr>
                <w:sz w:val="17"/>
              </w:rPr>
              <w:t>NFR-07</w:t>
            </w:r>
          </w:p>
        </w:tc>
        <w:tc>
          <w:tcPr>
            <w:tcW w:type="dxa" w:w="2412"/>
          </w:tcPr>
          <w:p>
            <w:r>
              <w:rPr>
                <w:sz w:val="17"/>
              </w:rPr>
              <w:t>Access controlRole-based; steward access is scoped to the queue and logged per record viewed</w:t>
            </w:r>
          </w:p>
        </w:tc>
        <w:tc>
          <w:tcPr>
            <w:tcW w:type="dxa" w:w="2412"/>
          </w:tcPr>
          <w:p>
            <w:r>
              <w:rPr>
                <w:sz w:val="17"/>
              </w:rPr>
              <w:t>Must</w:t>
            </w:r>
          </w:p>
        </w:tc>
        <w:tc>
          <w:tcPr>
            <w:tcW w:type="dxa" w:w="2412"/>
          </w:tcPr>
          <w:p>
            <w:r>
              <w:rPr>
                <w:sz w:val="17"/>
              </w:rPr>
              <w:t>Test</w:t>
            </w:r>
          </w:p>
        </w:tc>
      </w:tr>
    </w:tbl>
    <w:p/>
    <w:p>
      <w:pPr>
        <w:spacing w:before="320"/>
      </w:pPr>
      <w:r>
        <w:rPr>
          <w:b/>
          <w:color w:val="12304A"/>
          <w:sz w:val="28"/>
        </w:rPr>
        <w:t>05 — BRD-02 Core Administration Consolidation (41 requirements · owner W. Ferriday)</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Req ID</w:t>
            </w:r>
          </w:p>
        </w:tc>
        <w:tc>
          <w:tcPr>
            <w:tcW w:type="dxa" w:w="2412"/>
          </w:tcPr>
          <w:p>
            <w:r>
              <w:rPr>
                <w:b/>
                <w:sz w:val="17"/>
              </w:rPr>
              <w:t>Requirement (from BRD-02)</w:t>
            </w:r>
          </w:p>
        </w:tc>
        <w:tc>
          <w:tcPr>
            <w:tcW w:type="dxa" w:w="2412"/>
          </w:tcPr>
          <w:p>
            <w:r>
              <w:rPr>
                <w:b/>
                <w:sz w:val="17"/>
              </w:rPr>
              <w:t>Priority</w:t>
            </w:r>
          </w:p>
        </w:tc>
        <w:tc>
          <w:tcPr>
            <w:tcW w:type="dxa" w:w="2412"/>
          </w:tcPr>
          <w:p>
            <w:r>
              <w:rPr>
                <w:b/>
                <w:sz w:val="17"/>
              </w:rPr>
              <w:t>Verification method</w:t>
            </w:r>
          </w:p>
        </w:tc>
      </w:tr>
      <w:tr>
        <w:tc>
          <w:tcPr>
            <w:tcW w:type="dxa" w:w="2412"/>
          </w:tcPr>
          <w:p>
            <w:r>
              <w:rPr>
                <w:sz w:val="17"/>
              </w:rPr>
              <w:t>FR-01</w:t>
            </w:r>
          </w:p>
        </w:tc>
        <w:tc>
          <w:tcPr>
            <w:tcW w:type="dxa" w:w="2412"/>
          </w:tcPr>
          <w:p>
            <w:r>
              <w:rPr>
                <w:sz w:val="17"/>
              </w:rPr>
              <w:t>Reproduce adjudication outcomesEach target plan configured so that a claim adjudicates to the same outcome, allowed amount and member liabili</w:t>
            </w:r>
          </w:p>
        </w:tc>
        <w:tc>
          <w:tcPr>
            <w:tcW w:type="dxa" w:w="2412"/>
          </w:tcPr>
          <w:p>
            <w:r>
              <w:rPr>
                <w:sz w:val="17"/>
              </w:rPr>
              <w:t>Must</w:t>
            </w:r>
          </w:p>
        </w:tc>
        <w:tc>
          <w:tcPr>
            <w:tcW w:type="dxa" w:w="2412"/>
          </w:tcPr>
          <w:p>
            <w:r>
              <w:rPr>
                <w:sz w:val="17"/>
              </w:rPr>
              <w:t>Test</w:t>
            </w:r>
          </w:p>
        </w:tc>
      </w:tr>
      <w:tr>
        <w:tc>
          <w:tcPr>
            <w:tcW w:type="dxa" w:w="2412"/>
          </w:tcPr>
          <w:p>
            <w:r>
              <w:rPr>
                <w:sz w:val="17"/>
              </w:rPr>
              <w:t>FR-02</w:t>
            </w:r>
          </w:p>
        </w:tc>
        <w:tc>
          <w:tcPr>
            <w:tcW w:type="dxa" w:w="2412"/>
          </w:tcPr>
          <w:p>
            <w:r>
              <w:rPr>
                <w:sz w:val="17"/>
              </w:rPr>
              <w:t>Plan-by-plan configuration registerEvery target product mapped to its ACME configuration, with the person who verified it named</w:t>
            </w:r>
          </w:p>
        </w:tc>
        <w:tc>
          <w:tcPr>
            <w:tcW w:type="dxa" w:w="2412"/>
          </w:tcPr>
          <w:p>
            <w:r>
              <w:rPr>
                <w:sz w:val="17"/>
              </w:rPr>
              <w:t>Must</w:t>
            </w:r>
          </w:p>
        </w:tc>
        <w:tc>
          <w:tcPr>
            <w:tcW w:type="dxa" w:w="2412"/>
          </w:tcPr>
          <w:p>
            <w:r>
              <w:rPr>
                <w:sz w:val="17"/>
              </w:rPr>
              <w:t>Inspection</w:t>
            </w:r>
          </w:p>
        </w:tc>
      </w:tr>
      <w:tr>
        <w:tc>
          <w:tcPr>
            <w:tcW w:type="dxa" w:w="2412"/>
          </w:tcPr>
          <w:p>
            <w:r>
              <w:rPr>
                <w:sz w:val="17"/>
              </w:rPr>
              <w:t>FR-03</w:t>
            </w:r>
          </w:p>
        </w:tc>
        <w:tc>
          <w:tcPr>
            <w:tcW w:type="dxa" w:w="2412"/>
          </w:tcPr>
          <w:p>
            <w:r>
              <w:rPr>
                <w:sz w:val="17"/>
              </w:rPr>
              <w:t>Expected-difference register⚠ Every intended behavioral difference documented before parallel run, with the reason and an approver</w:t>
            </w:r>
          </w:p>
        </w:tc>
        <w:tc>
          <w:tcPr>
            <w:tcW w:type="dxa" w:w="2412"/>
          </w:tcPr>
          <w:p>
            <w:r>
              <w:rPr>
                <w:sz w:val="17"/>
              </w:rPr>
              <w:t>Must</w:t>
            </w:r>
          </w:p>
        </w:tc>
        <w:tc>
          <w:tcPr>
            <w:tcW w:type="dxa" w:w="2412"/>
          </w:tcPr>
          <w:p>
            <w:r>
              <w:rPr>
                <w:sz w:val="17"/>
              </w:rPr>
              <w:t>Demonstration</w:t>
            </w:r>
          </w:p>
        </w:tc>
      </w:tr>
      <w:tr>
        <w:tc>
          <w:tcPr>
            <w:tcW w:type="dxa" w:w="2412"/>
          </w:tcPr>
          <w:p>
            <w:r>
              <w:rPr>
                <w:sz w:val="17"/>
              </w:rPr>
              <w:t>FR-04</w:t>
            </w:r>
          </w:p>
        </w:tc>
        <w:tc>
          <w:tcPr>
            <w:tcW w:type="dxa" w:w="2412"/>
          </w:tcPr>
          <w:p>
            <w:r>
              <w:rPr>
                <w:sz w:val="17"/>
              </w:rPr>
              <w:t>Near-identical plans reconciledWhere the target has plans that appear identical, the differences are identified and either preserved delibera</w:t>
            </w:r>
          </w:p>
        </w:tc>
        <w:tc>
          <w:tcPr>
            <w:tcW w:type="dxa" w:w="2412"/>
          </w:tcPr>
          <w:p>
            <w:r>
              <w:rPr>
                <w:sz w:val="17"/>
              </w:rPr>
              <w:t>Must</w:t>
            </w:r>
          </w:p>
        </w:tc>
        <w:tc>
          <w:tcPr>
            <w:tcW w:type="dxa" w:w="2412"/>
          </w:tcPr>
          <w:p>
            <w:r>
              <w:rPr>
                <w:sz w:val="17"/>
              </w:rPr>
              <w:t>Demonstration</w:t>
            </w:r>
          </w:p>
        </w:tc>
      </w:tr>
      <w:tr>
        <w:tc>
          <w:tcPr>
            <w:tcW w:type="dxa" w:w="2412"/>
          </w:tcPr>
          <w:p>
            <w:r>
              <w:rPr>
                <w:sz w:val="17"/>
              </w:rPr>
              <w:t>FR-05</w:t>
            </w:r>
          </w:p>
        </w:tc>
        <w:tc>
          <w:tcPr>
            <w:tcW w:type="dxa" w:w="2412"/>
          </w:tcPr>
          <w:p>
            <w:r>
              <w:rPr>
                <w:sz w:val="17"/>
              </w:rPr>
              <w:t>Provider contracts and fee schedules loadedReimbursement terms reproduced. ⚠ A pricing difference is a contract breach, not a configuration defect.</w:t>
            </w:r>
          </w:p>
        </w:tc>
        <w:tc>
          <w:tcPr>
            <w:tcW w:type="dxa" w:w="2412"/>
          </w:tcPr>
          <w:p>
            <w:r>
              <w:rPr>
                <w:sz w:val="17"/>
              </w:rPr>
              <w:t>Must</w:t>
            </w:r>
          </w:p>
        </w:tc>
        <w:tc>
          <w:tcPr>
            <w:tcW w:type="dxa" w:w="2412"/>
          </w:tcPr>
          <w:p>
            <w:r>
              <w:rPr>
                <w:sz w:val="17"/>
              </w:rPr>
              <w:t>Test</w:t>
            </w:r>
          </w:p>
        </w:tc>
      </w:tr>
      <w:tr>
        <w:tc>
          <w:tcPr>
            <w:tcW w:type="dxa" w:w="2412"/>
          </w:tcPr>
          <w:p>
            <w:r>
              <w:rPr>
                <w:sz w:val="17"/>
              </w:rPr>
              <w:t>FR-06</w:t>
            </w:r>
          </w:p>
        </w:tc>
        <w:tc>
          <w:tcPr>
            <w:tcW w:type="dxa" w:w="2412"/>
          </w:tcPr>
          <w:p>
            <w:r>
              <w:rPr>
                <w:sz w:val="17"/>
              </w:rPr>
              <w:t>Configuration peer reviewNo plan goes to parallel run on one person's word</w:t>
            </w:r>
          </w:p>
        </w:tc>
        <w:tc>
          <w:tcPr>
            <w:tcW w:type="dxa" w:w="2412"/>
          </w:tcPr>
          <w:p>
            <w:r>
              <w:rPr>
                <w:sz w:val="17"/>
              </w:rPr>
              <w:t>Must</w:t>
            </w:r>
          </w:p>
        </w:tc>
        <w:tc>
          <w:tcPr>
            <w:tcW w:type="dxa" w:w="2412"/>
          </w:tcPr>
          <w:p>
            <w:r>
              <w:rPr>
                <w:sz w:val="17"/>
              </w:rPr>
              <w:t>Demonstration</w:t>
            </w:r>
          </w:p>
        </w:tc>
      </w:tr>
      <w:tr>
        <w:tc>
          <w:tcPr>
            <w:tcW w:type="dxa" w:w="2412"/>
          </w:tcPr>
          <w:p>
            <w:r>
              <w:rPr>
                <w:sz w:val="17"/>
              </w:rPr>
              <w:t>FR-07</w:t>
            </w:r>
          </w:p>
        </w:tc>
        <w:tc>
          <w:tcPr>
            <w:tcW w:type="dxa" w:w="2412"/>
          </w:tcPr>
          <w:p>
            <w:r>
              <w:rPr>
                <w:sz w:val="17"/>
              </w:rPr>
              <w:t>Configuration derived from templatesWhere the ACME hierarchy allows, so future changes propagate rather than being edited plan by plan</w:t>
            </w:r>
          </w:p>
        </w:tc>
        <w:tc>
          <w:tcPr>
            <w:tcW w:type="dxa" w:w="2412"/>
          </w:tcPr>
          <w:p>
            <w:r>
              <w:rPr>
                <w:sz w:val="17"/>
              </w:rPr>
              <w:t>Should</w:t>
            </w:r>
          </w:p>
        </w:tc>
        <w:tc>
          <w:tcPr>
            <w:tcW w:type="dxa" w:w="2412"/>
          </w:tcPr>
          <w:p>
            <w:r>
              <w:rPr>
                <w:sz w:val="17"/>
              </w:rPr>
              <w:t>Test</w:t>
            </w:r>
          </w:p>
        </w:tc>
      </w:tr>
      <w:tr>
        <w:tc>
          <w:tcPr>
            <w:tcW w:type="dxa" w:w="2412"/>
          </w:tcPr>
          <w:p>
            <w:r>
              <w:rPr>
                <w:sz w:val="17"/>
              </w:rPr>
              <w:t>FR-08</w:t>
            </w:r>
          </w:p>
        </w:tc>
        <w:tc>
          <w:tcPr>
            <w:tcW w:type="dxa" w:w="2412"/>
          </w:tcPr>
          <w:p>
            <w:r>
              <w:rPr>
                <w:sz w:val="17"/>
              </w:rPr>
              <w:t>Adjudication outcome equivalencePay, deny or pend decisions identical for the same claim. ⚠ There is no third category between "same" and "def</w:t>
            </w:r>
          </w:p>
        </w:tc>
        <w:tc>
          <w:tcPr>
            <w:tcW w:type="dxa" w:w="2412"/>
          </w:tcPr>
          <w:p>
            <w:r>
              <w:rPr>
                <w:sz w:val="17"/>
              </w:rPr>
              <w:t>Must</w:t>
            </w:r>
          </w:p>
        </w:tc>
        <w:tc>
          <w:tcPr>
            <w:tcW w:type="dxa" w:w="2412"/>
          </w:tcPr>
          <w:p>
            <w:r>
              <w:rPr>
                <w:sz w:val="17"/>
              </w:rPr>
              <w:t>Inspection</w:t>
            </w:r>
          </w:p>
        </w:tc>
      </w:tr>
      <w:tr>
        <w:tc>
          <w:tcPr>
            <w:tcW w:type="dxa" w:w="2412"/>
          </w:tcPr>
          <w:p>
            <w:r>
              <w:rPr>
                <w:sz w:val="17"/>
              </w:rPr>
              <w:t>FR-09</w:t>
            </w:r>
          </w:p>
        </w:tc>
        <w:tc>
          <w:tcPr>
            <w:tcW w:type="dxa" w:w="2412"/>
          </w:tcPr>
          <w:p>
            <w:r>
              <w:rPr>
                <w:sz w:val="17"/>
              </w:rPr>
              <w:t>Claims edit inventory with a decision per edit⚠ Every edit on the retiring platform classified port, drop, or replace, each with a named decider and a state</w:t>
            </w:r>
          </w:p>
        </w:tc>
        <w:tc>
          <w:tcPr>
            <w:tcW w:type="dxa" w:w="2412"/>
          </w:tcPr>
          <w:p>
            <w:r>
              <w:rPr>
                <w:sz w:val="17"/>
              </w:rPr>
              <w:t>Must</w:t>
            </w:r>
          </w:p>
        </w:tc>
        <w:tc>
          <w:tcPr>
            <w:tcW w:type="dxa" w:w="2412"/>
          </w:tcPr>
          <w:p>
            <w:r>
              <w:rPr>
                <w:sz w:val="17"/>
              </w:rPr>
              <w:t>Inspection</w:t>
            </w:r>
          </w:p>
        </w:tc>
      </w:tr>
      <w:tr>
        <w:tc>
          <w:tcPr>
            <w:tcW w:type="dxa" w:w="2412"/>
          </w:tcPr>
          <w:p>
            <w:r>
              <w:rPr>
                <w:sz w:val="17"/>
              </w:rPr>
              <w:t>FR-10</w:t>
            </w:r>
          </w:p>
        </w:tc>
        <w:tc>
          <w:tcPr>
            <w:tcW w:type="dxa" w:w="2412"/>
          </w:tcPr>
          <w:p>
            <w:r>
              <w:rPr>
                <w:sz w:val="17"/>
              </w:rPr>
              <w:t>Undocumented edits escalatedAn edit with no discoverable reason is escalated to the Chief Medical Officer and Compliance rather than defau</w:t>
            </w:r>
          </w:p>
        </w:tc>
        <w:tc>
          <w:tcPr>
            <w:tcW w:type="dxa" w:w="2412"/>
          </w:tcPr>
          <w:p>
            <w:r>
              <w:rPr>
                <w:sz w:val="17"/>
              </w:rPr>
              <w:t>Must</w:t>
            </w:r>
          </w:p>
        </w:tc>
        <w:tc>
          <w:tcPr>
            <w:tcW w:type="dxa" w:w="2412"/>
          </w:tcPr>
          <w:p>
            <w:r>
              <w:rPr>
                <w:sz w:val="17"/>
              </w:rPr>
              <w:t>Inspection</w:t>
            </w:r>
          </w:p>
        </w:tc>
      </w:tr>
      <w:tr>
        <w:tc>
          <w:tcPr>
            <w:tcW w:type="dxa" w:w="2412"/>
          </w:tcPr>
          <w:p>
            <w:r>
              <w:rPr>
                <w:sz w:val="17"/>
              </w:rPr>
              <w:t>FR-11</w:t>
            </w:r>
          </w:p>
        </w:tc>
        <w:tc>
          <w:tcPr>
            <w:tcW w:type="dxa" w:w="2412"/>
          </w:tcPr>
          <w:p>
            <w:r>
              <w:rPr>
                <w:sz w:val="17"/>
              </w:rPr>
              <w:t>Denial and adjustment code mappingLocal codes mapped to the surviving code set. ⚠ The mapping is a deliverable and is itself tested.</w:t>
            </w:r>
          </w:p>
        </w:tc>
        <w:tc>
          <w:tcPr>
            <w:tcW w:type="dxa" w:w="2412"/>
          </w:tcPr>
          <w:p>
            <w:r>
              <w:rPr>
                <w:sz w:val="17"/>
              </w:rPr>
              <w:t>Must</w:t>
            </w:r>
          </w:p>
        </w:tc>
        <w:tc>
          <w:tcPr>
            <w:tcW w:type="dxa" w:w="2412"/>
          </w:tcPr>
          <w:p>
            <w:r>
              <w:rPr>
                <w:sz w:val="17"/>
              </w:rPr>
              <w:t>Test</w:t>
            </w:r>
          </w:p>
        </w:tc>
      </w:tr>
      <w:tr>
        <w:tc>
          <w:tcPr>
            <w:tcW w:type="dxa" w:w="2412"/>
          </w:tcPr>
          <w:p>
            <w:r>
              <w:rPr>
                <w:sz w:val="17"/>
              </w:rPr>
              <w:t>FR-12</w:t>
            </w:r>
          </w:p>
        </w:tc>
        <w:tc>
          <w:tcPr>
            <w:tcW w:type="dxa" w:w="2412"/>
          </w:tcPr>
          <w:p>
            <w:r>
              <w:rPr>
                <w:sz w:val="17"/>
              </w:rPr>
              <w:t>Pricing equivalenceAllowed amount identical to the cent. Rounding behavior verified explicitly.</w:t>
            </w:r>
          </w:p>
        </w:tc>
        <w:tc>
          <w:tcPr>
            <w:tcW w:type="dxa" w:w="2412"/>
          </w:tcPr>
          <w:p>
            <w:r>
              <w:rPr>
                <w:sz w:val="17"/>
              </w:rPr>
              <w:t>Must</w:t>
            </w:r>
          </w:p>
        </w:tc>
        <w:tc>
          <w:tcPr>
            <w:tcW w:type="dxa" w:w="2412"/>
          </w:tcPr>
          <w:p>
            <w:r>
              <w:rPr>
                <w:sz w:val="17"/>
              </w:rPr>
              <w:t>Test</w:t>
            </w:r>
          </w:p>
        </w:tc>
      </w:tr>
      <w:tr>
        <w:tc>
          <w:tcPr>
            <w:tcW w:type="dxa" w:w="2412"/>
          </w:tcPr>
          <w:p>
            <w:r>
              <w:rPr>
                <w:sz w:val="17"/>
              </w:rPr>
              <w:t>FR-13</w:t>
            </w:r>
          </w:p>
        </w:tc>
        <w:tc>
          <w:tcPr>
            <w:tcW w:type="dxa" w:w="2412"/>
          </w:tcPr>
          <w:p>
            <w:r>
              <w:rPr>
                <w:sz w:val="17"/>
              </w:rPr>
              <w:t>Timeliness preservedAdjudication cycle time within regulatory limits throughout, including the cutover period</w:t>
            </w:r>
          </w:p>
        </w:tc>
        <w:tc>
          <w:tcPr>
            <w:tcW w:type="dxa" w:w="2412"/>
          </w:tcPr>
          <w:p>
            <w:r>
              <w:rPr>
                <w:sz w:val="17"/>
              </w:rPr>
              <w:t>Must</w:t>
            </w:r>
          </w:p>
        </w:tc>
        <w:tc>
          <w:tcPr>
            <w:tcW w:type="dxa" w:w="2412"/>
          </w:tcPr>
          <w:p>
            <w:r>
              <w:rPr>
                <w:sz w:val="17"/>
              </w:rPr>
              <w:t>Test</w:t>
            </w:r>
          </w:p>
        </w:tc>
      </w:tr>
      <w:tr>
        <w:tc>
          <w:tcPr>
            <w:tcW w:type="dxa" w:w="2412"/>
          </w:tcPr>
          <w:p>
            <w:r>
              <w:rPr>
                <w:sz w:val="17"/>
              </w:rPr>
              <w:t>FR-14</w:t>
            </w:r>
          </w:p>
        </w:tc>
        <w:tc>
          <w:tcPr>
            <w:tcW w:type="dxa" w:w="2412"/>
          </w:tcPr>
          <w:p>
            <w:r>
              <w:rPr>
                <w:sz w:val="17"/>
              </w:rPr>
              <w:t>Auto-adjudication rate maintained⚠ A drop pushes volume to manual review, which becomes a staffing problem presenting as a systems one</w:t>
            </w:r>
          </w:p>
        </w:tc>
        <w:tc>
          <w:tcPr>
            <w:tcW w:type="dxa" w:w="2412"/>
          </w:tcPr>
          <w:p>
            <w:r>
              <w:rPr>
                <w:sz w:val="17"/>
              </w:rPr>
              <w:t>Should</w:t>
            </w:r>
          </w:p>
        </w:tc>
        <w:tc>
          <w:tcPr>
            <w:tcW w:type="dxa" w:w="2412"/>
          </w:tcPr>
          <w:p>
            <w:r>
              <w:rPr>
                <w:sz w:val="17"/>
              </w:rPr>
              <w:t>Analysis</w:t>
            </w:r>
          </w:p>
        </w:tc>
      </w:tr>
      <w:tr>
        <w:tc>
          <w:tcPr>
            <w:tcW w:type="dxa" w:w="2412"/>
          </w:tcPr>
          <w:p>
            <w:r>
              <w:rPr>
                <w:sz w:val="17"/>
              </w:rPr>
              <w:t>FR-15</w:t>
            </w:r>
          </w:p>
        </w:tc>
        <w:tc>
          <w:tcPr>
            <w:tcW w:type="dxa" w:w="2412"/>
          </w:tcPr>
          <w:p>
            <w:r>
              <w:rPr>
                <w:sz w:val="17"/>
              </w:rPr>
              <w:t>Group and eligibility structure reproducedEmployer groups, subgroups, classes and rate structures</w:t>
            </w:r>
          </w:p>
        </w:tc>
        <w:tc>
          <w:tcPr>
            <w:tcW w:type="dxa" w:w="2412"/>
          </w:tcPr>
          <w:p>
            <w:r>
              <w:rPr>
                <w:sz w:val="17"/>
              </w:rPr>
              <w:t>Must</w:t>
            </w:r>
          </w:p>
        </w:tc>
        <w:tc>
          <w:tcPr>
            <w:tcW w:type="dxa" w:w="2412"/>
          </w:tcPr>
          <w:p>
            <w:r>
              <w:rPr>
                <w:sz w:val="17"/>
              </w:rPr>
              <w:t>Test</w:t>
            </w:r>
          </w:p>
        </w:tc>
      </w:tr>
      <w:tr>
        <w:tc>
          <w:tcPr>
            <w:tcW w:type="dxa" w:w="2412"/>
          </w:tcPr>
          <w:p>
            <w:r>
              <w:rPr>
                <w:sz w:val="17"/>
              </w:rPr>
              <w:t>FR-16</w:t>
            </w:r>
          </w:p>
        </w:tc>
        <w:tc>
          <w:tcPr>
            <w:tcW w:type="dxa" w:w="2412"/>
          </w:tcPr>
          <w:p>
            <w:r>
              <w:rPr>
                <w:sz w:val="17"/>
              </w:rPr>
              <w:t>Coverage history complete⚠ Every period retained. A member's demonstrable coverage may not shorten. Consumes the identity resolution ou</w:t>
            </w:r>
          </w:p>
        </w:tc>
        <w:tc>
          <w:tcPr>
            <w:tcW w:type="dxa" w:w="2412"/>
          </w:tcPr>
          <w:p>
            <w:r>
              <w:rPr>
                <w:sz w:val="17"/>
              </w:rPr>
              <w:t>Must</w:t>
            </w:r>
          </w:p>
        </w:tc>
        <w:tc>
          <w:tcPr>
            <w:tcW w:type="dxa" w:w="2412"/>
          </w:tcPr>
          <w:p>
            <w:r>
              <w:rPr>
                <w:sz w:val="17"/>
              </w:rPr>
              <w:t>Inspection</w:t>
            </w:r>
          </w:p>
        </w:tc>
      </w:tr>
      <w:tr>
        <w:tc>
          <w:tcPr>
            <w:tcW w:type="dxa" w:w="2412"/>
          </w:tcPr>
          <w:p>
            <w:r>
              <w:rPr>
                <w:sz w:val="17"/>
              </w:rPr>
              <w:t>FR-17</w:t>
            </w:r>
          </w:p>
        </w:tc>
        <w:tc>
          <w:tcPr>
            <w:tcW w:type="dxa" w:w="2412"/>
          </w:tcPr>
          <w:p>
            <w:r>
              <w:rPr>
                <w:sz w:val="17"/>
              </w:rPr>
              <w:t>Retroactive terminations and reinstatements⚠ Retroactivity behaves as on the retiring platform, including re-adjudication of affected claims</w:t>
            </w:r>
          </w:p>
        </w:tc>
        <w:tc>
          <w:tcPr>
            <w:tcW w:type="dxa" w:w="2412"/>
          </w:tcPr>
          <w:p>
            <w:r>
              <w:rPr>
                <w:sz w:val="17"/>
              </w:rPr>
              <w:t>Must</w:t>
            </w:r>
          </w:p>
        </w:tc>
        <w:tc>
          <w:tcPr>
            <w:tcW w:type="dxa" w:w="2412"/>
          </w:tcPr>
          <w:p>
            <w:r>
              <w:rPr>
                <w:sz w:val="17"/>
              </w:rPr>
              <w:t>Test</w:t>
            </w:r>
          </w:p>
        </w:tc>
      </w:tr>
      <w:tr>
        <w:tc>
          <w:tcPr>
            <w:tcW w:type="dxa" w:w="2412"/>
          </w:tcPr>
          <w:p>
            <w:r>
              <w:rPr>
                <w:sz w:val="17"/>
              </w:rPr>
              <w:t>FR-18</w:t>
            </w:r>
          </w:p>
        </w:tc>
        <w:tc>
          <w:tcPr>
            <w:tcW w:type="dxa" w:w="2412"/>
          </w:tcPr>
          <w:p>
            <w:r>
              <w:rPr>
                <w:sz w:val="17"/>
              </w:rPr>
              <w:t>Effective dating on all entitiesBenefits, providers, groups and members all carry effective dates and are adjudicated as at service date, not</w:t>
            </w:r>
          </w:p>
        </w:tc>
        <w:tc>
          <w:tcPr>
            <w:tcW w:type="dxa" w:w="2412"/>
          </w:tcPr>
          <w:p>
            <w:r>
              <w:rPr>
                <w:sz w:val="17"/>
              </w:rPr>
              <w:t>Must</w:t>
            </w:r>
          </w:p>
        </w:tc>
        <w:tc>
          <w:tcPr>
            <w:tcW w:type="dxa" w:w="2412"/>
          </w:tcPr>
          <w:p>
            <w:r>
              <w:rPr>
                <w:sz w:val="17"/>
              </w:rPr>
              <w:t>Test</w:t>
            </w:r>
          </w:p>
        </w:tc>
      </w:tr>
      <w:tr>
        <w:tc>
          <w:tcPr>
            <w:tcW w:type="dxa" w:w="2412"/>
          </w:tcPr>
          <w:p>
            <w:r>
              <w:rPr>
                <w:sz w:val="17"/>
              </w:rPr>
              <w:t>FR-19</w:t>
            </w:r>
          </w:p>
        </w:tc>
        <w:tc>
          <w:tcPr>
            <w:tcW w:type="dxa" w:w="2412"/>
          </w:tcPr>
          <w:p>
            <w:r>
              <w:rPr>
                <w:sz w:val="17"/>
              </w:rPr>
              <w:t>834 processing per trading partnerFull-file and change-file semantics preserved per partner. ⚠ These are not interchangeable.</w:t>
            </w:r>
          </w:p>
        </w:tc>
        <w:tc>
          <w:tcPr>
            <w:tcW w:type="dxa" w:w="2412"/>
          </w:tcPr>
          <w:p>
            <w:r>
              <w:rPr>
                <w:sz w:val="17"/>
              </w:rPr>
              <w:t>Must</w:t>
            </w:r>
          </w:p>
        </w:tc>
        <w:tc>
          <w:tcPr>
            <w:tcW w:type="dxa" w:w="2412"/>
          </w:tcPr>
          <w:p>
            <w:r>
              <w:rPr>
                <w:sz w:val="17"/>
              </w:rPr>
              <w:t>Test</w:t>
            </w:r>
          </w:p>
        </w:tc>
      </w:tr>
      <w:tr>
        <w:tc>
          <w:tcPr>
            <w:tcW w:type="dxa" w:w="2412"/>
          </w:tcPr>
          <w:p>
            <w:r>
              <w:rPr>
                <w:sz w:val="17"/>
              </w:rPr>
              <w:t>FR-20</w:t>
            </w:r>
          </w:p>
        </w:tc>
        <w:tc>
          <w:tcPr>
            <w:tcW w:type="dxa" w:w="2412"/>
          </w:tcPr>
          <w:p>
            <w:r>
              <w:rPr>
                <w:sz w:val="17"/>
              </w:rPr>
              <w:t>Accumulator balances reconcile exactlyDeductible, out-of-pocket and visit limits agree to the cent at cutover. ⚠ Zero variance.</w:t>
            </w:r>
          </w:p>
        </w:tc>
        <w:tc>
          <w:tcPr>
            <w:tcW w:type="dxa" w:w="2412"/>
          </w:tcPr>
          <w:p>
            <w:r>
              <w:rPr>
                <w:sz w:val="17"/>
              </w:rPr>
              <w:t>Must</w:t>
            </w:r>
          </w:p>
        </w:tc>
        <w:tc>
          <w:tcPr>
            <w:tcW w:type="dxa" w:w="2412"/>
          </w:tcPr>
          <w:p>
            <w:r>
              <w:rPr>
                <w:sz w:val="17"/>
              </w:rPr>
              <w:t>Demonstration</w:t>
            </w:r>
          </w:p>
        </w:tc>
      </w:tr>
      <w:tr>
        <w:tc>
          <w:tcPr>
            <w:tcW w:type="dxa" w:w="2412"/>
          </w:tcPr>
          <w:p>
            <w:r>
              <w:rPr>
                <w:sz w:val="17"/>
              </w:rPr>
              <w:t>FR-21</w:t>
            </w:r>
          </w:p>
        </w:tc>
        <w:tc>
          <w:tcPr>
            <w:tcW w:type="dxa" w:w="2412"/>
          </w:tcPr>
          <w:p>
            <w:r>
              <w:rPr>
                <w:sz w:val="17"/>
              </w:rPr>
              <w:t>Accumulators computed, not copied⚠ Recomputed from the union of claims and reconciled to the source balance — a copied balance carries an</w:t>
            </w:r>
          </w:p>
        </w:tc>
        <w:tc>
          <w:tcPr>
            <w:tcW w:type="dxa" w:w="2412"/>
          </w:tcPr>
          <w:p>
            <w:r>
              <w:rPr>
                <w:sz w:val="17"/>
              </w:rPr>
              <w:t>Must</w:t>
            </w:r>
          </w:p>
        </w:tc>
        <w:tc>
          <w:tcPr>
            <w:tcW w:type="dxa" w:w="2412"/>
          </w:tcPr>
          <w:p>
            <w:r>
              <w:rPr>
                <w:sz w:val="17"/>
              </w:rPr>
              <w:t>Demonstration</w:t>
            </w:r>
          </w:p>
        </w:tc>
      </w:tr>
      <w:tr>
        <w:tc>
          <w:tcPr>
            <w:tcW w:type="dxa" w:w="2412"/>
          </w:tcPr>
          <w:p>
            <w:r>
              <w:rPr>
                <w:sz w:val="17"/>
              </w:rPr>
              <w:t>FR-22</w:t>
            </w:r>
          </w:p>
        </w:tc>
        <w:tc>
          <w:tcPr>
            <w:tcW w:type="dxa" w:w="2412"/>
          </w:tcPr>
          <w:p>
            <w:r>
              <w:rPr>
                <w:sz w:val="17"/>
              </w:rPr>
              <w:t>Mid-year cutover handledPlan-year-to-date balances continue without reset. ⚠ A reset is a member paying a deductible twice.</w:t>
            </w:r>
          </w:p>
        </w:tc>
        <w:tc>
          <w:tcPr>
            <w:tcW w:type="dxa" w:w="2412"/>
          </w:tcPr>
          <w:p>
            <w:r>
              <w:rPr>
                <w:sz w:val="17"/>
              </w:rPr>
              <w:t>Must</w:t>
            </w:r>
          </w:p>
        </w:tc>
        <w:tc>
          <w:tcPr>
            <w:tcW w:type="dxa" w:w="2412"/>
          </w:tcPr>
          <w:p>
            <w:r>
              <w:rPr>
                <w:sz w:val="17"/>
              </w:rPr>
              <w:t>Test</w:t>
            </w:r>
          </w:p>
        </w:tc>
      </w:tr>
      <w:tr>
        <w:tc>
          <w:tcPr>
            <w:tcW w:type="dxa" w:w="2412"/>
          </w:tcPr>
          <w:p>
            <w:r>
              <w:rPr>
                <w:sz w:val="17"/>
              </w:rPr>
              <w:t>FR-23</w:t>
            </w:r>
          </w:p>
        </w:tc>
        <w:tc>
          <w:tcPr>
            <w:tcW w:type="dxa" w:w="2412"/>
          </w:tcPr>
          <w:p>
            <w:r>
              <w:rPr>
                <w:sz w:val="17"/>
              </w:rPr>
              <w:t>Family and individual accumulationBoth tiers reproduced, including cross-application rules</w:t>
            </w:r>
          </w:p>
        </w:tc>
        <w:tc>
          <w:tcPr>
            <w:tcW w:type="dxa" w:w="2412"/>
          </w:tcPr>
          <w:p>
            <w:r>
              <w:rPr>
                <w:sz w:val="17"/>
              </w:rPr>
              <w:t>Must</w:t>
            </w:r>
          </w:p>
        </w:tc>
        <w:tc>
          <w:tcPr>
            <w:tcW w:type="dxa" w:w="2412"/>
          </w:tcPr>
          <w:p>
            <w:r>
              <w:rPr>
                <w:sz w:val="17"/>
              </w:rPr>
              <w:t>Test</w:t>
            </w:r>
          </w:p>
        </w:tc>
      </w:tr>
      <w:tr>
        <w:tc>
          <w:tcPr>
            <w:tcW w:type="dxa" w:w="2412"/>
          </w:tcPr>
          <w:p>
            <w:r>
              <w:rPr>
                <w:sz w:val="17"/>
              </w:rPr>
              <w:t>FR-24</w:t>
            </w:r>
          </w:p>
        </w:tc>
        <w:tc>
          <w:tcPr>
            <w:tcW w:type="dxa" w:w="2412"/>
          </w:tcPr>
          <w:p>
            <w:r>
              <w:rPr>
                <w:sz w:val="17"/>
              </w:rPr>
              <w:t>Coordination of benefitsPrimacy determination, order of benefits and secondary calculation reproduced</w:t>
            </w:r>
          </w:p>
        </w:tc>
        <w:tc>
          <w:tcPr>
            <w:tcW w:type="dxa" w:w="2412"/>
          </w:tcPr>
          <w:p>
            <w:r>
              <w:rPr>
                <w:sz w:val="17"/>
              </w:rPr>
              <w:t>Must</w:t>
            </w:r>
          </w:p>
        </w:tc>
        <w:tc>
          <w:tcPr>
            <w:tcW w:type="dxa" w:w="2412"/>
          </w:tcPr>
          <w:p>
            <w:r>
              <w:rPr>
                <w:sz w:val="17"/>
              </w:rPr>
              <w:t>Test</w:t>
            </w:r>
          </w:p>
        </w:tc>
      </w:tr>
      <w:tr>
        <w:tc>
          <w:tcPr>
            <w:tcW w:type="dxa" w:w="2412"/>
          </w:tcPr>
          <w:p>
            <w:r>
              <w:rPr>
                <w:sz w:val="17"/>
              </w:rPr>
              <w:t>FR-25</w:t>
            </w:r>
          </w:p>
        </w:tc>
        <w:tc>
          <w:tcPr>
            <w:tcW w:type="dxa" w:w="2412"/>
          </w:tcPr>
          <w:p>
            <w:r>
              <w:rPr>
                <w:sz w:val="17"/>
              </w:rPr>
              <w:t>COB information retainedOther-coverage records migrate with the member. ⚠ Losing them makes the plan primary by default and overpays.</w:t>
            </w:r>
          </w:p>
        </w:tc>
        <w:tc>
          <w:tcPr>
            <w:tcW w:type="dxa" w:w="2412"/>
          </w:tcPr>
          <w:p>
            <w:r>
              <w:rPr>
                <w:sz w:val="17"/>
              </w:rPr>
              <w:t>Must</w:t>
            </w:r>
          </w:p>
        </w:tc>
        <w:tc>
          <w:tcPr>
            <w:tcW w:type="dxa" w:w="2412"/>
          </w:tcPr>
          <w:p>
            <w:r>
              <w:rPr>
                <w:sz w:val="17"/>
              </w:rPr>
              <w:t>Inspection</w:t>
            </w:r>
          </w:p>
        </w:tc>
      </w:tr>
      <w:tr>
        <w:tc>
          <w:tcPr>
            <w:tcW w:type="dxa" w:w="2412"/>
          </w:tcPr>
          <w:p>
            <w:r>
              <w:rPr>
                <w:sz w:val="17"/>
              </w:rPr>
              <w:t>FR-26</w:t>
            </w:r>
          </w:p>
        </w:tc>
        <w:tc>
          <w:tcPr>
            <w:tcW w:type="dxa" w:w="2412"/>
          </w:tcPr>
          <w:p>
            <w:r>
              <w:rPr>
                <w:sz w:val="17"/>
              </w:rPr>
              <w:t>Pended claims dispositionEvery pended claim either resolved before cutover or migrated with its pend reason and age intact. ⚠ The regul</w:t>
            </w:r>
          </w:p>
        </w:tc>
        <w:tc>
          <w:tcPr>
            <w:tcW w:type="dxa" w:w="2412"/>
          </w:tcPr>
          <w:p>
            <w:r>
              <w:rPr>
                <w:sz w:val="17"/>
              </w:rPr>
              <w:t>Must</w:t>
            </w:r>
          </w:p>
        </w:tc>
        <w:tc>
          <w:tcPr>
            <w:tcW w:type="dxa" w:w="2412"/>
          </w:tcPr>
          <w:p>
            <w:r>
              <w:rPr>
                <w:sz w:val="17"/>
              </w:rPr>
              <w:t>Test</w:t>
            </w:r>
          </w:p>
        </w:tc>
      </w:tr>
      <w:tr>
        <w:tc>
          <w:tcPr>
            <w:tcW w:type="dxa" w:w="2412"/>
          </w:tcPr>
          <w:p>
            <w:r>
              <w:rPr>
                <w:sz w:val="17"/>
              </w:rPr>
              <w:t>FR-27</w:t>
            </w:r>
          </w:p>
        </w:tc>
        <w:tc>
          <w:tcPr>
            <w:tcW w:type="dxa" w:w="2412"/>
          </w:tcPr>
          <w:p>
            <w:r>
              <w:rPr>
                <w:sz w:val="17"/>
              </w:rPr>
              <w:t>Open appeals complete where they started⚠ A case completes in the system that opened it, with its evidence and correspondence. Statutory timeframes co</w:t>
            </w:r>
          </w:p>
        </w:tc>
        <w:tc>
          <w:tcPr>
            <w:tcW w:type="dxa" w:w="2412"/>
          </w:tcPr>
          <w:p>
            <w:r>
              <w:rPr>
                <w:sz w:val="17"/>
              </w:rPr>
              <w:t>Must</w:t>
            </w:r>
          </w:p>
        </w:tc>
        <w:tc>
          <w:tcPr>
            <w:tcW w:type="dxa" w:w="2412"/>
          </w:tcPr>
          <w:p>
            <w:r>
              <w:rPr>
                <w:sz w:val="17"/>
              </w:rPr>
              <w:t>Test</w:t>
            </w:r>
          </w:p>
        </w:tc>
      </w:tr>
      <w:tr>
        <w:tc>
          <w:tcPr>
            <w:tcW w:type="dxa" w:w="2412"/>
          </w:tcPr>
          <w:p>
            <w:r>
              <w:rPr>
                <w:sz w:val="17"/>
              </w:rPr>
              <w:t>FR-28</w:t>
            </w:r>
          </w:p>
        </w:tc>
        <w:tc>
          <w:tcPr>
            <w:tcW w:type="dxa" w:w="2412"/>
          </w:tcPr>
          <w:p>
            <w:r>
              <w:rPr>
                <w:sz w:val="17"/>
              </w:rPr>
              <w:t>In-flight payment cyclesA payment run initiated before cutover completes before cutover. ⚠ No payment cycle spans the boundary.</w:t>
            </w:r>
          </w:p>
        </w:tc>
        <w:tc>
          <w:tcPr>
            <w:tcW w:type="dxa" w:w="2412"/>
          </w:tcPr>
          <w:p>
            <w:r>
              <w:rPr>
                <w:sz w:val="17"/>
              </w:rPr>
              <w:t>Must</w:t>
            </w:r>
          </w:p>
        </w:tc>
        <w:tc>
          <w:tcPr>
            <w:tcW w:type="dxa" w:w="2412"/>
          </w:tcPr>
          <w:p>
            <w:r>
              <w:rPr>
                <w:sz w:val="17"/>
              </w:rPr>
              <w:t>Test</w:t>
            </w:r>
          </w:p>
        </w:tc>
      </w:tr>
      <w:tr>
        <w:tc>
          <w:tcPr>
            <w:tcW w:type="dxa" w:w="2412"/>
          </w:tcPr>
          <w:p>
            <w:r>
              <w:rPr>
                <w:sz w:val="17"/>
              </w:rPr>
              <w:t>FR-29</w:t>
            </w:r>
          </w:p>
        </w:tc>
        <w:tc>
          <w:tcPr>
            <w:tcW w:type="dxa" w:w="2412"/>
          </w:tcPr>
          <w:p>
            <w:r>
              <w:rPr>
                <w:sz w:val="17"/>
              </w:rPr>
              <w:t>Adjustments and recoveries in progressMigrate with their linkage to the original claim</w:t>
            </w:r>
          </w:p>
        </w:tc>
        <w:tc>
          <w:tcPr>
            <w:tcW w:type="dxa" w:w="2412"/>
          </w:tcPr>
          <w:p>
            <w:r>
              <w:rPr>
                <w:sz w:val="17"/>
              </w:rPr>
              <w:t>Must</w:t>
            </w:r>
          </w:p>
        </w:tc>
        <w:tc>
          <w:tcPr>
            <w:tcW w:type="dxa" w:w="2412"/>
          </w:tcPr>
          <w:p>
            <w:r>
              <w:rPr>
                <w:sz w:val="17"/>
              </w:rPr>
              <w:t>Test</w:t>
            </w:r>
          </w:p>
        </w:tc>
      </w:tr>
      <w:tr>
        <w:tc>
          <w:tcPr>
            <w:tcW w:type="dxa" w:w="2412"/>
          </w:tcPr>
          <w:p>
            <w:r>
              <w:rPr>
                <w:sz w:val="17"/>
              </w:rPr>
              <w:t>FR-30</w:t>
            </w:r>
          </w:p>
        </w:tc>
        <w:tc>
          <w:tcPr>
            <w:tcW w:type="dxa" w:w="2412"/>
          </w:tcPr>
          <w:p>
            <w:r>
              <w:rPr>
                <w:sz w:val="17"/>
              </w:rPr>
              <w:t>Submission freeze and drainDefined quiet window; submissions received during it queue and process after, with receipt dates preserved</w:t>
            </w:r>
          </w:p>
        </w:tc>
        <w:tc>
          <w:tcPr>
            <w:tcW w:type="dxa" w:w="2412"/>
          </w:tcPr>
          <w:p>
            <w:r>
              <w:rPr>
                <w:sz w:val="17"/>
              </w:rPr>
              <w:t>Must</w:t>
            </w:r>
          </w:p>
        </w:tc>
        <w:tc>
          <w:tcPr>
            <w:tcW w:type="dxa" w:w="2412"/>
          </w:tcPr>
          <w:p>
            <w:r>
              <w:rPr>
                <w:sz w:val="17"/>
              </w:rPr>
              <w:t>Analysis</w:t>
            </w:r>
          </w:p>
        </w:tc>
      </w:tr>
      <w:tr>
        <w:tc>
          <w:tcPr>
            <w:tcW w:type="dxa" w:w="2412"/>
          </w:tcPr>
          <w:p>
            <w:r>
              <w:rPr>
                <w:sz w:val="17"/>
              </w:rPr>
              <w:t>FR-31</w:t>
            </w:r>
          </w:p>
        </w:tc>
        <w:tc>
          <w:tcPr>
            <w:tcW w:type="dxa" w:w="2412"/>
          </w:tcPr>
          <w:p>
            <w:r>
              <w:rPr>
                <w:sz w:val="17"/>
              </w:rPr>
              <w:t>Post-cutover claims to the surviving platform only⚠ Including claims for services rendered before the cutover date</w:t>
            </w:r>
          </w:p>
        </w:tc>
        <w:tc>
          <w:tcPr>
            <w:tcW w:type="dxa" w:w="2412"/>
          </w:tcPr>
          <w:p>
            <w:r>
              <w:rPr>
                <w:sz w:val="17"/>
              </w:rPr>
              <w:t>Must</w:t>
            </w:r>
          </w:p>
        </w:tc>
        <w:tc>
          <w:tcPr>
            <w:tcW w:type="dxa" w:w="2412"/>
          </w:tcPr>
          <w:p>
            <w:r>
              <w:rPr>
                <w:sz w:val="17"/>
              </w:rPr>
              <w:t>Test</w:t>
            </w:r>
          </w:p>
        </w:tc>
      </w:tr>
      <w:tr>
        <w:tc>
          <w:tcPr>
            <w:tcW w:type="dxa" w:w="2412"/>
          </w:tcPr>
          <w:p>
            <w:r>
              <w:rPr>
                <w:sz w:val="17"/>
              </w:rPr>
              <w:t>FR-32</w:t>
            </w:r>
          </w:p>
        </w:tc>
        <w:tc>
          <w:tcPr>
            <w:tcW w:type="dxa" w:w="2412"/>
          </w:tcPr>
          <w:p>
            <w:r>
              <w:rPr>
                <w:sz w:val="17"/>
              </w:rPr>
              <w:t>Explanation of benefits content preservedRegulated content reproduced. ⚠ A change is a filed change, not a design choice.</w:t>
            </w:r>
          </w:p>
        </w:tc>
        <w:tc>
          <w:tcPr>
            <w:tcW w:type="dxa" w:w="2412"/>
          </w:tcPr>
          <w:p>
            <w:r>
              <w:rPr>
                <w:sz w:val="17"/>
              </w:rPr>
              <w:t>Must</w:t>
            </w:r>
          </w:p>
        </w:tc>
        <w:tc>
          <w:tcPr>
            <w:tcW w:type="dxa" w:w="2412"/>
          </w:tcPr>
          <w:p>
            <w:r>
              <w:rPr>
                <w:sz w:val="17"/>
              </w:rPr>
              <w:t>Test</w:t>
            </w:r>
          </w:p>
        </w:tc>
      </w:tr>
      <w:tr>
        <w:tc>
          <w:tcPr>
            <w:tcW w:type="dxa" w:w="2412"/>
          </w:tcPr>
          <w:p>
            <w:r>
              <w:rPr>
                <w:sz w:val="17"/>
              </w:rPr>
              <w:t>FR-33</w:t>
            </w:r>
          </w:p>
        </w:tc>
        <w:tc>
          <w:tcPr>
            <w:tcW w:type="dxa" w:w="2412"/>
          </w:tcPr>
          <w:p>
            <w:r>
              <w:rPr>
                <w:sz w:val="17"/>
              </w:rPr>
              <w:t>Trading partner re-registrationEach partner re-registered and test-exchanged before their channel moves</w:t>
            </w:r>
          </w:p>
        </w:tc>
        <w:tc>
          <w:tcPr>
            <w:tcW w:type="dxa" w:w="2412"/>
          </w:tcPr>
          <w:p>
            <w:r>
              <w:rPr>
                <w:sz w:val="17"/>
              </w:rPr>
              <w:t>Must</w:t>
            </w:r>
          </w:p>
        </w:tc>
        <w:tc>
          <w:tcPr>
            <w:tcW w:type="dxa" w:w="2412"/>
          </w:tcPr>
          <w:p>
            <w:r>
              <w:rPr>
                <w:sz w:val="17"/>
              </w:rPr>
              <w:t>Inspection</w:t>
            </w:r>
          </w:p>
        </w:tc>
      </w:tr>
      <w:tr>
        <w:tc>
          <w:tcPr>
            <w:tcW w:type="dxa" w:w="2412"/>
          </w:tcPr>
          <w:p>
            <w:r>
              <w:rPr>
                <w:sz w:val="17"/>
              </w:rPr>
              <w:t>FR-34</w:t>
            </w:r>
          </w:p>
        </w:tc>
        <w:tc>
          <w:tcPr>
            <w:tcW w:type="dxa" w:w="2412"/>
          </w:tcPr>
          <w:p>
            <w:r>
              <w:rPr>
                <w:sz w:val="17"/>
              </w:rPr>
              <w:t>Payer identifier transitionOld and new identifiers both accepted through a defined window</w:t>
            </w:r>
          </w:p>
        </w:tc>
        <w:tc>
          <w:tcPr>
            <w:tcW w:type="dxa" w:w="2412"/>
          </w:tcPr>
          <w:p>
            <w:r>
              <w:rPr>
                <w:sz w:val="17"/>
              </w:rPr>
              <w:t>Must</w:t>
            </w:r>
          </w:p>
        </w:tc>
        <w:tc>
          <w:tcPr>
            <w:tcW w:type="dxa" w:w="2412"/>
          </w:tcPr>
          <w:p>
            <w:r>
              <w:rPr>
                <w:sz w:val="17"/>
              </w:rPr>
              <w:t>Analysis</w:t>
            </w:r>
          </w:p>
        </w:tc>
      </w:tr>
      <w:tr>
        <w:tc>
          <w:tcPr>
            <w:tcW w:type="dxa" w:w="2412"/>
          </w:tcPr>
          <w:p>
            <w:r>
              <w:rPr>
                <w:sz w:val="17"/>
              </w:rPr>
              <w:t>FR-35</w:t>
            </w:r>
          </w:p>
        </w:tc>
        <w:tc>
          <w:tcPr>
            <w:tcW w:type="dxa" w:w="2412"/>
          </w:tcPr>
          <w:p>
            <w:r>
              <w:rPr>
                <w:sz w:val="17"/>
              </w:rPr>
              <w:t>Business-level acknowledgment⚠ Every EDI interface carries a control total. A syntactic acknowledgment is not acceptance.</w:t>
            </w:r>
          </w:p>
        </w:tc>
        <w:tc>
          <w:tcPr>
            <w:tcW w:type="dxa" w:w="2412"/>
          </w:tcPr>
          <w:p>
            <w:r>
              <w:rPr>
                <w:sz w:val="17"/>
              </w:rPr>
              <w:t>Must</w:t>
            </w:r>
          </w:p>
        </w:tc>
        <w:tc>
          <w:tcPr>
            <w:tcW w:type="dxa" w:w="2412"/>
          </w:tcPr>
          <w:p>
            <w:r>
              <w:rPr>
                <w:sz w:val="17"/>
              </w:rPr>
              <w:t>Test</w:t>
            </w:r>
          </w:p>
        </w:tc>
      </w:tr>
      <w:tr>
        <w:tc>
          <w:tcPr>
            <w:tcW w:type="dxa" w:w="2412"/>
          </w:tcPr>
          <w:p>
            <w:r>
              <w:rPr>
                <w:sz w:val="17"/>
              </w:rPr>
              <w:t>FR-36</w:t>
            </w:r>
          </w:p>
        </w:tc>
        <w:tc>
          <w:tcPr>
            <w:tcW w:type="dxa" w:w="2412"/>
          </w:tcPr>
          <w:p>
            <w:r>
              <w:rPr>
                <w:sz w:val="17"/>
              </w:rPr>
              <w:t>835 reconciles to payment issuedAcross both paying platforms during coexistence</w:t>
            </w:r>
          </w:p>
        </w:tc>
        <w:tc>
          <w:tcPr>
            <w:tcW w:type="dxa" w:w="2412"/>
          </w:tcPr>
          <w:p>
            <w:r>
              <w:rPr>
                <w:sz w:val="17"/>
              </w:rPr>
              <w:t>Must</w:t>
            </w:r>
          </w:p>
        </w:tc>
        <w:tc>
          <w:tcPr>
            <w:tcW w:type="dxa" w:w="2412"/>
          </w:tcPr>
          <w:p>
            <w:r>
              <w:rPr>
                <w:sz w:val="17"/>
              </w:rPr>
              <w:t>Demonstration</w:t>
            </w:r>
          </w:p>
        </w:tc>
      </w:tr>
      <w:tr>
        <w:tc>
          <w:tcPr>
            <w:tcW w:type="dxa" w:w="2412"/>
          </w:tcPr>
          <w:p>
            <w:r>
              <w:rPr>
                <w:sz w:val="17"/>
              </w:rPr>
              <w:t>NFR-01</w:t>
            </w:r>
          </w:p>
        </w:tc>
        <w:tc>
          <w:tcPr>
            <w:tcW w:type="dxa" w:w="2412"/>
          </w:tcPr>
          <w:p>
            <w:r>
              <w:rPr>
                <w:sz w:val="17"/>
              </w:rPr>
              <w:t>Adjudication throughputCombined daily volume within the existing processing window, with headroom</w:t>
            </w:r>
          </w:p>
        </w:tc>
        <w:tc>
          <w:tcPr>
            <w:tcW w:type="dxa" w:w="2412"/>
          </w:tcPr>
          <w:p>
            <w:r>
              <w:rPr>
                <w:sz w:val="17"/>
              </w:rPr>
              <w:t>Must</w:t>
            </w:r>
          </w:p>
        </w:tc>
        <w:tc>
          <w:tcPr>
            <w:tcW w:type="dxa" w:w="2412"/>
          </w:tcPr>
          <w:p>
            <w:r>
              <w:rPr>
                <w:sz w:val="17"/>
              </w:rPr>
              <w:t>Analysis</w:t>
            </w:r>
          </w:p>
        </w:tc>
      </w:tr>
      <w:tr>
        <w:tc>
          <w:tcPr>
            <w:tcW w:type="dxa" w:w="2412"/>
          </w:tcPr>
          <w:p>
            <w:r>
              <w:rPr>
                <w:sz w:val="17"/>
              </w:rPr>
              <w:t>NFR-02</w:t>
            </w:r>
          </w:p>
        </w:tc>
        <w:tc>
          <w:tcPr>
            <w:tcW w:type="dxa" w:w="2412"/>
          </w:tcPr>
          <w:p>
            <w:r>
              <w:rPr>
                <w:sz w:val="17"/>
              </w:rPr>
              <w:t>Eligibility response⚠ Real-time at the point of care. Latency here is a member turned away at a pharmacy counter.</w:t>
            </w:r>
          </w:p>
        </w:tc>
        <w:tc>
          <w:tcPr>
            <w:tcW w:type="dxa" w:w="2412"/>
          </w:tcPr>
          <w:p>
            <w:r>
              <w:rPr>
                <w:sz w:val="17"/>
              </w:rPr>
              <w:t>Must</w:t>
            </w:r>
          </w:p>
        </w:tc>
        <w:tc>
          <w:tcPr>
            <w:tcW w:type="dxa" w:w="2412"/>
          </w:tcPr>
          <w:p>
            <w:r>
              <w:rPr>
                <w:sz w:val="17"/>
              </w:rPr>
              <w:t>Analysis</w:t>
            </w:r>
          </w:p>
        </w:tc>
      </w:tr>
      <w:tr>
        <w:tc>
          <w:tcPr>
            <w:tcW w:type="dxa" w:w="2412"/>
          </w:tcPr>
          <w:p>
            <w:r>
              <w:rPr>
                <w:sz w:val="17"/>
              </w:rPr>
              <w:t>NFR-03</w:t>
            </w:r>
          </w:p>
        </w:tc>
        <w:tc>
          <w:tcPr>
            <w:tcW w:type="dxa" w:w="2412"/>
          </w:tcPr>
          <w:p>
            <w:r>
              <w:rPr>
                <w:sz w:val="17"/>
              </w:rPr>
              <w:t>AvailabilityTier 0. Recovery objectives per the Quality Plan, restore tested.</w:t>
            </w:r>
          </w:p>
        </w:tc>
        <w:tc>
          <w:tcPr>
            <w:tcW w:type="dxa" w:w="2412"/>
          </w:tcPr>
          <w:p>
            <w:r>
              <w:rPr>
                <w:sz w:val="17"/>
              </w:rPr>
              <w:t>Must</w:t>
            </w:r>
          </w:p>
        </w:tc>
        <w:tc>
          <w:tcPr>
            <w:tcW w:type="dxa" w:w="2412"/>
          </w:tcPr>
          <w:p>
            <w:r>
              <w:rPr>
                <w:sz w:val="17"/>
              </w:rPr>
              <w:t>Demonstration</w:t>
            </w:r>
          </w:p>
        </w:tc>
      </w:tr>
      <w:tr>
        <w:tc>
          <w:tcPr>
            <w:tcW w:type="dxa" w:w="2412"/>
          </w:tcPr>
          <w:p>
            <w:r>
              <w:rPr>
                <w:sz w:val="17"/>
              </w:rPr>
              <w:t>NFR-04</w:t>
            </w:r>
          </w:p>
        </w:tc>
        <w:tc>
          <w:tcPr>
            <w:tcW w:type="dxa" w:w="2412"/>
          </w:tcPr>
          <w:p>
            <w:r>
              <w:rPr>
                <w:sz w:val="17"/>
              </w:rPr>
              <w:t>AuditabilityEvery adjudication reproducible with the configuration version that produced it</w:t>
            </w:r>
          </w:p>
        </w:tc>
        <w:tc>
          <w:tcPr>
            <w:tcW w:type="dxa" w:w="2412"/>
          </w:tcPr>
          <w:p>
            <w:r>
              <w:rPr>
                <w:sz w:val="17"/>
              </w:rPr>
              <w:t>Must</w:t>
            </w:r>
          </w:p>
        </w:tc>
        <w:tc>
          <w:tcPr>
            <w:tcW w:type="dxa" w:w="2412"/>
          </w:tcPr>
          <w:p>
            <w:r>
              <w:rPr>
                <w:sz w:val="17"/>
              </w:rPr>
              <w:t>Audit</w:t>
            </w:r>
          </w:p>
        </w:tc>
      </w:tr>
      <w:tr>
        <w:tc>
          <w:tcPr>
            <w:tcW w:type="dxa" w:w="2412"/>
          </w:tcPr>
          <w:p>
            <w:r>
              <w:rPr>
                <w:sz w:val="17"/>
              </w:rPr>
              <w:t>NFR-05</w:t>
            </w:r>
          </w:p>
        </w:tc>
        <w:tc>
          <w:tcPr>
            <w:tcW w:type="dxa" w:w="2412"/>
          </w:tcPr>
          <w:p>
            <w:r>
              <w:rPr>
                <w:sz w:val="17"/>
              </w:rPr>
              <w:t>Cutover window⚠ One weekend. No rollback after the payment cycle resumes.</w:t>
            </w:r>
          </w:p>
        </w:tc>
        <w:tc>
          <w:tcPr>
            <w:tcW w:type="dxa" w:w="2412"/>
          </w:tcPr>
          <w:p>
            <w:r>
              <w:rPr>
                <w:sz w:val="17"/>
              </w:rPr>
              <w:t>Must</w:t>
            </w:r>
          </w:p>
        </w:tc>
        <w:tc>
          <w:tcPr>
            <w:tcW w:type="dxa" w:w="2412"/>
          </w:tcPr>
          <w:p>
            <w:r>
              <w:rPr>
                <w:sz w:val="17"/>
              </w:rPr>
              <w:t>Analysis</w:t>
            </w:r>
          </w:p>
        </w:tc>
      </w:tr>
    </w:tbl>
    <w:p/>
    <w:p>
      <w:pPr>
        <w:spacing w:before="320"/>
      </w:pPr>
      <w:r>
        <w:rPr>
          <w:b/>
          <w:color w:val="12304A"/>
          <w:sz w:val="28"/>
        </w:rPr>
        <w:t>06 — BRD-03 Integration Layer &amp; Interfaces (29 requirements · owner K. Stallworth)</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Req ID</w:t>
            </w:r>
          </w:p>
        </w:tc>
        <w:tc>
          <w:tcPr>
            <w:tcW w:type="dxa" w:w="2412"/>
          </w:tcPr>
          <w:p>
            <w:r>
              <w:rPr>
                <w:b/>
                <w:sz w:val="17"/>
              </w:rPr>
              <w:t>Requirement (from BRD-03)</w:t>
            </w:r>
          </w:p>
        </w:tc>
        <w:tc>
          <w:tcPr>
            <w:tcW w:type="dxa" w:w="2412"/>
          </w:tcPr>
          <w:p>
            <w:r>
              <w:rPr>
                <w:b/>
                <w:sz w:val="17"/>
              </w:rPr>
              <w:t>Priority</w:t>
            </w:r>
          </w:p>
        </w:tc>
        <w:tc>
          <w:tcPr>
            <w:tcW w:type="dxa" w:w="2412"/>
          </w:tcPr>
          <w:p>
            <w:r>
              <w:rPr>
                <w:b/>
                <w:sz w:val="17"/>
              </w:rPr>
              <w:t>Verification method</w:t>
            </w:r>
          </w:p>
        </w:tc>
      </w:tr>
      <w:tr>
        <w:tc>
          <w:tcPr>
            <w:tcW w:type="dxa" w:w="2412"/>
          </w:tcPr>
          <w:p>
            <w:r>
              <w:rPr>
                <w:sz w:val="17"/>
              </w:rPr>
              <w:t>FR-01</w:t>
            </w:r>
          </w:p>
        </w:tc>
        <w:tc>
          <w:tcPr>
            <w:tcW w:type="dxa" w:w="2412"/>
          </w:tcPr>
          <w:p>
            <w:r>
              <w:rPr>
                <w:sz w:val="17"/>
              </w:rPr>
              <w:t>One canonical representation per entityMember, coverage, provider, claim, authorization, accumulator. Each platform maps to and from it.</w:t>
            </w:r>
          </w:p>
        </w:tc>
        <w:tc>
          <w:tcPr>
            <w:tcW w:type="dxa" w:w="2412"/>
          </w:tcPr>
          <w:p>
            <w:r>
              <w:rPr>
                <w:sz w:val="17"/>
              </w:rPr>
              <w:t>Must</w:t>
            </w:r>
          </w:p>
        </w:tc>
        <w:tc>
          <w:tcPr>
            <w:tcW w:type="dxa" w:w="2412"/>
          </w:tcPr>
          <w:p>
            <w:r>
              <w:rPr>
                <w:sz w:val="17"/>
              </w:rPr>
              <w:t>Test</w:t>
            </w:r>
          </w:p>
        </w:tc>
      </w:tr>
      <w:tr>
        <w:tc>
          <w:tcPr>
            <w:tcW w:type="dxa" w:w="2412"/>
          </w:tcPr>
          <w:p>
            <w:r>
              <w:rPr>
                <w:sz w:val="17"/>
              </w:rPr>
              <w:t>FR-02</w:t>
            </w:r>
          </w:p>
        </w:tc>
        <w:tc>
          <w:tcPr>
            <w:tcW w:type="dxa" w:w="2412"/>
          </w:tcPr>
          <w:p>
            <w:r>
              <w:rPr>
                <w:sz w:val="17"/>
              </w:rPr>
              <w:t>Canonical model is versioned⚠ A change is a versioned change with a migration path, not an edit</w:t>
            </w:r>
          </w:p>
        </w:tc>
        <w:tc>
          <w:tcPr>
            <w:tcW w:type="dxa" w:w="2412"/>
          </w:tcPr>
          <w:p>
            <w:r>
              <w:rPr>
                <w:sz w:val="17"/>
              </w:rPr>
              <w:t>Must</w:t>
            </w:r>
          </w:p>
        </w:tc>
        <w:tc>
          <w:tcPr>
            <w:tcW w:type="dxa" w:w="2412"/>
          </w:tcPr>
          <w:p>
            <w:r>
              <w:rPr>
                <w:sz w:val="17"/>
              </w:rPr>
              <w:t>Inspection</w:t>
            </w:r>
          </w:p>
        </w:tc>
      </w:tr>
      <w:tr>
        <w:tc>
          <w:tcPr>
            <w:tcW w:type="dxa" w:w="2412"/>
          </w:tcPr>
          <w:p>
            <w:r>
              <w:rPr>
                <w:sz w:val="17"/>
              </w:rPr>
              <w:t>FR-03</w:t>
            </w:r>
          </w:p>
        </w:tc>
        <w:tc>
          <w:tcPr>
            <w:tcW w:type="dxa" w:w="2412"/>
          </w:tcPr>
          <w:p>
            <w:r>
              <w:rPr>
                <w:sz w:val="17"/>
              </w:rPr>
              <w:t>Definitions agreed before mapping⚠ "Member", "coverage period", "final" and "closed" are defined once and signed by both sides before any mappi</w:t>
            </w:r>
          </w:p>
        </w:tc>
        <w:tc>
          <w:tcPr>
            <w:tcW w:type="dxa" w:w="2412"/>
          </w:tcPr>
          <w:p>
            <w:r>
              <w:rPr>
                <w:sz w:val="17"/>
              </w:rPr>
              <w:t>Must</w:t>
            </w:r>
          </w:p>
        </w:tc>
        <w:tc>
          <w:tcPr>
            <w:tcW w:type="dxa" w:w="2412"/>
          </w:tcPr>
          <w:p>
            <w:r>
              <w:rPr>
                <w:sz w:val="17"/>
              </w:rPr>
              <w:t>Inspection</w:t>
            </w:r>
          </w:p>
        </w:tc>
      </w:tr>
      <w:tr>
        <w:tc>
          <w:tcPr>
            <w:tcW w:type="dxa" w:w="2412"/>
          </w:tcPr>
          <w:p>
            <w:r>
              <w:rPr>
                <w:sz w:val="17"/>
              </w:rPr>
              <w:t>FR-04</w:t>
            </w:r>
          </w:p>
        </w:tc>
        <w:tc>
          <w:tcPr>
            <w:tcW w:type="dxa" w:w="2412"/>
          </w:tcPr>
          <w:p>
            <w:r>
              <w:rPr>
                <w:sz w:val="17"/>
              </w:rPr>
              <w:t>No business logic in the layer⚠ It translates and routes. A rule that decides something belongs in a system of record, and a request to add</w:t>
            </w:r>
          </w:p>
        </w:tc>
        <w:tc>
          <w:tcPr>
            <w:tcW w:type="dxa" w:w="2412"/>
          </w:tcPr>
          <w:p>
            <w:r>
              <w:rPr>
                <w:sz w:val="17"/>
              </w:rPr>
              <w:t>Must</w:t>
            </w:r>
          </w:p>
        </w:tc>
        <w:tc>
          <w:tcPr>
            <w:tcW w:type="dxa" w:w="2412"/>
          </w:tcPr>
          <w:p>
            <w:r>
              <w:rPr>
                <w:sz w:val="17"/>
              </w:rPr>
              <w:t>Test</w:t>
            </w:r>
          </w:p>
        </w:tc>
      </w:tr>
      <w:tr>
        <w:tc>
          <w:tcPr>
            <w:tcW w:type="dxa" w:w="2412"/>
          </w:tcPr>
          <w:p>
            <w:r>
              <w:rPr>
                <w:sz w:val="17"/>
              </w:rPr>
              <w:t>FR-05</w:t>
            </w:r>
          </w:p>
        </w:tc>
        <w:tc>
          <w:tcPr>
            <w:tcW w:type="dxa" w:w="2412"/>
          </w:tcPr>
          <w:p>
            <w:r>
              <w:rPr>
                <w:sz w:val="17"/>
              </w:rPr>
              <w:t>Mapping is declarative and inspectableA reader can determine what a field becomes without reading code</w:t>
            </w:r>
          </w:p>
        </w:tc>
        <w:tc>
          <w:tcPr>
            <w:tcW w:type="dxa" w:w="2412"/>
          </w:tcPr>
          <w:p>
            <w:r>
              <w:rPr>
                <w:sz w:val="17"/>
              </w:rPr>
              <w:t>Must</w:t>
            </w:r>
          </w:p>
        </w:tc>
        <w:tc>
          <w:tcPr>
            <w:tcW w:type="dxa" w:w="2412"/>
          </w:tcPr>
          <w:p>
            <w:r>
              <w:rPr>
                <w:sz w:val="17"/>
              </w:rPr>
              <w:t>Test</w:t>
            </w:r>
          </w:p>
        </w:tc>
      </w:tr>
      <w:tr>
        <w:tc>
          <w:tcPr>
            <w:tcW w:type="dxa" w:w="2412"/>
          </w:tcPr>
          <w:p>
            <w:r>
              <w:rPr>
                <w:sz w:val="17"/>
              </w:rPr>
              <w:t>FR-06</w:t>
            </w:r>
          </w:p>
        </w:tc>
        <w:tc>
          <w:tcPr>
            <w:tcW w:type="dxa" w:w="2412"/>
          </w:tcPr>
          <w:p>
            <w:r>
              <w:rPr>
                <w:sz w:val="17"/>
              </w:rPr>
              <w:t>Unmapped fields fail loudly⚠ An unmapped field is an error, not a silent null</w:t>
            </w:r>
          </w:p>
        </w:tc>
        <w:tc>
          <w:tcPr>
            <w:tcW w:type="dxa" w:w="2412"/>
          </w:tcPr>
          <w:p>
            <w:r>
              <w:rPr>
                <w:sz w:val="17"/>
              </w:rPr>
              <w:t>Should</w:t>
            </w:r>
          </w:p>
        </w:tc>
        <w:tc>
          <w:tcPr>
            <w:tcW w:type="dxa" w:w="2412"/>
          </w:tcPr>
          <w:p>
            <w:r>
              <w:rPr>
                <w:sz w:val="17"/>
              </w:rPr>
              <w:t>Test</w:t>
            </w:r>
          </w:p>
        </w:tc>
      </w:tr>
      <w:tr>
        <w:tc>
          <w:tcPr>
            <w:tcW w:type="dxa" w:w="2412"/>
          </w:tcPr>
          <w:p>
            <w:r>
              <w:rPr>
                <w:sz w:val="17"/>
              </w:rPr>
              <w:t>FR-07</w:t>
            </w:r>
          </w:p>
        </w:tc>
        <w:tc>
          <w:tcPr>
            <w:tcW w:type="dxa" w:w="2412"/>
          </w:tcPr>
          <w:p>
            <w:r>
              <w:rPr>
                <w:sz w:val="17"/>
              </w:rPr>
              <w:t>Guaranteed deliveryNo message lost. Delivery confirmed by the receiving system, not by the layer.</w:t>
            </w:r>
          </w:p>
        </w:tc>
        <w:tc>
          <w:tcPr>
            <w:tcW w:type="dxa" w:w="2412"/>
          </w:tcPr>
          <w:p>
            <w:r>
              <w:rPr>
                <w:sz w:val="17"/>
              </w:rPr>
              <w:t>Must</w:t>
            </w:r>
          </w:p>
        </w:tc>
        <w:tc>
          <w:tcPr>
            <w:tcW w:type="dxa" w:w="2412"/>
          </w:tcPr>
          <w:p>
            <w:r>
              <w:rPr>
                <w:sz w:val="17"/>
              </w:rPr>
              <w:t>Test</w:t>
            </w:r>
          </w:p>
        </w:tc>
      </w:tr>
      <w:tr>
        <w:tc>
          <w:tcPr>
            <w:tcW w:type="dxa" w:w="2412"/>
          </w:tcPr>
          <w:p>
            <w:r>
              <w:rPr>
                <w:sz w:val="17"/>
              </w:rPr>
              <w:t>FR-08</w:t>
            </w:r>
          </w:p>
        </w:tc>
        <w:tc>
          <w:tcPr>
            <w:tcW w:type="dxa" w:w="2412"/>
          </w:tcPr>
          <w:p>
            <w:r>
              <w:rPr>
                <w:sz w:val="17"/>
              </w:rPr>
              <w:t>Idempotency⚠ A message delivered twice produces the same result as once. Retry is the primary recovery mechanism and it i</w:t>
            </w:r>
          </w:p>
        </w:tc>
        <w:tc>
          <w:tcPr>
            <w:tcW w:type="dxa" w:w="2412"/>
          </w:tcPr>
          <w:p>
            <w:r>
              <w:rPr>
                <w:sz w:val="17"/>
              </w:rPr>
              <w:t>Must</w:t>
            </w:r>
          </w:p>
        </w:tc>
        <w:tc>
          <w:tcPr>
            <w:tcW w:type="dxa" w:w="2412"/>
          </w:tcPr>
          <w:p>
            <w:r>
              <w:rPr>
                <w:sz w:val="17"/>
              </w:rPr>
              <w:t>Test</w:t>
            </w:r>
          </w:p>
        </w:tc>
      </w:tr>
      <w:tr>
        <w:tc>
          <w:tcPr>
            <w:tcW w:type="dxa" w:w="2412"/>
          </w:tcPr>
          <w:p>
            <w:r>
              <w:rPr>
                <w:sz w:val="17"/>
              </w:rPr>
              <w:t>FR-09</w:t>
            </w:r>
          </w:p>
        </w:tc>
        <w:tc>
          <w:tcPr>
            <w:tcW w:type="dxa" w:w="2412"/>
          </w:tcPr>
          <w:p>
            <w:r>
              <w:rPr>
                <w:sz w:val="17"/>
              </w:rPr>
              <w:t>Ordered delivery where order mattersAccumulator and coverage changes are order-sensitive; provider updates are not. Stated per interface.</w:t>
            </w:r>
          </w:p>
        </w:tc>
        <w:tc>
          <w:tcPr>
            <w:tcW w:type="dxa" w:w="2412"/>
          </w:tcPr>
          <w:p>
            <w:r>
              <w:rPr>
                <w:sz w:val="17"/>
              </w:rPr>
              <w:t>Must</w:t>
            </w:r>
          </w:p>
        </w:tc>
        <w:tc>
          <w:tcPr>
            <w:tcW w:type="dxa" w:w="2412"/>
          </w:tcPr>
          <w:p>
            <w:r>
              <w:rPr>
                <w:sz w:val="17"/>
              </w:rPr>
              <w:t>Test</w:t>
            </w:r>
          </w:p>
        </w:tc>
      </w:tr>
      <w:tr>
        <w:tc>
          <w:tcPr>
            <w:tcW w:type="dxa" w:w="2412"/>
          </w:tcPr>
          <w:p>
            <w:r>
              <w:rPr>
                <w:sz w:val="17"/>
              </w:rPr>
              <w:t>FR-10</w:t>
            </w:r>
          </w:p>
        </w:tc>
        <w:tc>
          <w:tcPr>
            <w:tcW w:type="dxa" w:w="2412"/>
          </w:tcPr>
          <w:p>
            <w:r>
              <w:rPr>
                <w:sz w:val="17"/>
              </w:rPr>
              <w:t>Business-level control totals⚠ Every interface reconciles on counts and amounts. A syntactic acknowledgment is not acceptance — a pip</w:t>
            </w:r>
          </w:p>
        </w:tc>
        <w:tc>
          <w:tcPr>
            <w:tcW w:type="dxa" w:w="2412"/>
          </w:tcPr>
          <w:p>
            <w:r>
              <w:rPr>
                <w:sz w:val="17"/>
              </w:rPr>
              <w:t>Must</w:t>
            </w:r>
          </w:p>
        </w:tc>
        <w:tc>
          <w:tcPr>
            <w:tcW w:type="dxa" w:w="2412"/>
          </w:tcPr>
          <w:p>
            <w:r>
              <w:rPr>
                <w:sz w:val="17"/>
              </w:rPr>
              <w:t>Demonstration</w:t>
            </w:r>
          </w:p>
        </w:tc>
      </w:tr>
      <w:tr>
        <w:tc>
          <w:tcPr>
            <w:tcW w:type="dxa" w:w="2412"/>
          </w:tcPr>
          <w:p>
            <w:r>
              <w:rPr>
                <w:sz w:val="17"/>
              </w:rPr>
              <w:t>FR-11</w:t>
            </w:r>
          </w:p>
        </w:tc>
        <w:tc>
          <w:tcPr>
            <w:tcW w:type="dxa" w:w="2412"/>
          </w:tcPr>
          <w:p>
            <w:r>
              <w:rPr>
                <w:sz w:val="17"/>
              </w:rPr>
              <w:t>Replay within a bounded windowMessages replayable for a defined period. ⚠ Bounded deliberately — an unbounded store is a data store, a</w:t>
            </w:r>
          </w:p>
        </w:tc>
        <w:tc>
          <w:tcPr>
            <w:tcW w:type="dxa" w:w="2412"/>
          </w:tcPr>
          <w:p>
            <w:r>
              <w:rPr>
                <w:sz w:val="17"/>
              </w:rPr>
              <w:t>Must</w:t>
            </w:r>
          </w:p>
        </w:tc>
        <w:tc>
          <w:tcPr>
            <w:tcW w:type="dxa" w:w="2412"/>
          </w:tcPr>
          <w:p>
            <w:r>
              <w:rPr>
                <w:sz w:val="17"/>
              </w:rPr>
              <w:t>Demonstration</w:t>
            </w:r>
          </w:p>
        </w:tc>
      </w:tr>
      <w:tr>
        <w:tc>
          <w:tcPr>
            <w:tcW w:type="dxa" w:w="2412"/>
          </w:tcPr>
          <w:p>
            <w:r>
              <w:rPr>
                <w:sz w:val="17"/>
              </w:rPr>
              <w:t>FR-12</w:t>
            </w:r>
          </w:p>
        </w:tc>
        <w:tc>
          <w:tcPr>
            <w:tcW w:type="dxa" w:w="2412"/>
          </w:tcPr>
          <w:p>
            <w:r>
              <w:rPr>
                <w:sz w:val="17"/>
              </w:rPr>
              <w:t>Failures alert with contextWhich interface, which record, which side, what failed. Not a generic error.</w:t>
            </w:r>
          </w:p>
        </w:tc>
        <w:tc>
          <w:tcPr>
            <w:tcW w:type="dxa" w:w="2412"/>
          </w:tcPr>
          <w:p>
            <w:r>
              <w:rPr>
                <w:sz w:val="17"/>
              </w:rPr>
              <w:t>Must</w:t>
            </w:r>
          </w:p>
        </w:tc>
        <w:tc>
          <w:tcPr>
            <w:tcW w:type="dxa" w:w="2412"/>
          </w:tcPr>
          <w:p>
            <w:r>
              <w:rPr>
                <w:sz w:val="17"/>
              </w:rPr>
              <w:t>Test</w:t>
            </w:r>
          </w:p>
        </w:tc>
      </w:tr>
      <w:tr>
        <w:tc>
          <w:tcPr>
            <w:tcW w:type="dxa" w:w="2412"/>
          </w:tcPr>
          <w:p>
            <w:r>
              <w:rPr>
                <w:sz w:val="17"/>
              </w:rPr>
              <w:t>FR-13</w:t>
            </w:r>
          </w:p>
        </w:tc>
        <w:tc>
          <w:tcPr>
            <w:tcW w:type="dxa" w:w="2412"/>
          </w:tcPr>
          <w:p>
            <w:r>
              <w:rPr>
                <w:sz w:val="17"/>
              </w:rPr>
              <w:t>Accumulator synchronization is near real time⚠ Latency here is a wrong member liability quoted at the point of service</w:t>
            </w:r>
          </w:p>
        </w:tc>
        <w:tc>
          <w:tcPr>
            <w:tcW w:type="dxa" w:w="2412"/>
          </w:tcPr>
          <w:p>
            <w:r>
              <w:rPr>
                <w:sz w:val="17"/>
              </w:rPr>
              <w:t>Must</w:t>
            </w:r>
          </w:p>
        </w:tc>
        <w:tc>
          <w:tcPr>
            <w:tcW w:type="dxa" w:w="2412"/>
          </w:tcPr>
          <w:p>
            <w:r>
              <w:rPr>
                <w:sz w:val="17"/>
              </w:rPr>
              <w:t>Analysis</w:t>
            </w:r>
          </w:p>
        </w:tc>
      </w:tr>
      <w:tr>
        <w:tc>
          <w:tcPr>
            <w:tcW w:type="dxa" w:w="2412"/>
          </w:tcPr>
          <w:p>
            <w:r>
              <w:rPr>
                <w:sz w:val="17"/>
              </w:rPr>
              <w:t>FR-14</w:t>
            </w:r>
          </w:p>
        </w:tc>
        <w:tc>
          <w:tcPr>
            <w:tcW w:type="dxa" w:w="2412"/>
          </w:tcPr>
          <w:p>
            <w:r>
              <w:rPr>
                <w:sz w:val="17"/>
              </w:rPr>
              <w:t>Accumulator conflicts resolved by recomputation⚠ Not by last-writer-wins. Both sides' claims are summed; the balance is derived, never chosen.</w:t>
            </w:r>
          </w:p>
        </w:tc>
        <w:tc>
          <w:tcPr>
            <w:tcW w:type="dxa" w:w="2412"/>
          </w:tcPr>
          <w:p>
            <w:r>
              <w:rPr>
                <w:sz w:val="17"/>
              </w:rPr>
              <w:t>Must</w:t>
            </w:r>
          </w:p>
        </w:tc>
        <w:tc>
          <w:tcPr>
            <w:tcW w:type="dxa" w:w="2412"/>
          </w:tcPr>
          <w:p>
            <w:r>
              <w:rPr>
                <w:sz w:val="17"/>
              </w:rPr>
              <w:t>Test</w:t>
            </w:r>
          </w:p>
        </w:tc>
      </w:tr>
      <w:tr>
        <w:tc>
          <w:tcPr>
            <w:tcW w:type="dxa" w:w="2412"/>
          </w:tcPr>
          <w:p>
            <w:r>
              <w:rPr>
                <w:sz w:val="17"/>
              </w:rPr>
              <w:t>FR-15</w:t>
            </w:r>
          </w:p>
        </w:tc>
        <w:tc>
          <w:tcPr>
            <w:tcW w:type="dxa" w:w="2412"/>
          </w:tcPr>
          <w:p>
            <w:r>
              <w:rPr>
                <w:sz w:val="17"/>
              </w:rPr>
              <w:t>Write-back failures surface on both sides⚠ A failed write into the retiring platform must alert both systems' operators</w:t>
            </w:r>
          </w:p>
        </w:tc>
        <w:tc>
          <w:tcPr>
            <w:tcW w:type="dxa" w:w="2412"/>
          </w:tcPr>
          <w:p>
            <w:r>
              <w:rPr>
                <w:sz w:val="17"/>
              </w:rPr>
              <w:t>Must</w:t>
            </w:r>
          </w:p>
        </w:tc>
        <w:tc>
          <w:tcPr>
            <w:tcW w:type="dxa" w:w="2412"/>
          </w:tcPr>
          <w:p>
            <w:r>
              <w:rPr>
                <w:sz w:val="17"/>
              </w:rPr>
              <w:t>Test</w:t>
            </w:r>
          </w:p>
        </w:tc>
      </w:tr>
      <w:tr>
        <w:tc>
          <w:tcPr>
            <w:tcW w:type="dxa" w:w="2412"/>
          </w:tcPr>
          <w:p>
            <w:r>
              <w:rPr>
                <w:sz w:val="17"/>
              </w:rPr>
              <w:t>FR-16</w:t>
            </w:r>
          </w:p>
        </w:tc>
        <w:tc>
          <w:tcPr>
            <w:tcW w:type="dxa" w:w="2412"/>
          </w:tcPr>
          <w:p>
            <w:r>
              <w:rPr>
                <w:sz w:val="17"/>
              </w:rPr>
              <w:t>Write-back is reconciled dailyIndependent comparison of what should have been written against what is present</w:t>
            </w:r>
          </w:p>
        </w:tc>
        <w:tc>
          <w:tcPr>
            <w:tcW w:type="dxa" w:w="2412"/>
          </w:tcPr>
          <w:p>
            <w:r>
              <w:rPr>
                <w:sz w:val="17"/>
              </w:rPr>
              <w:t>Must</w:t>
            </w:r>
          </w:p>
        </w:tc>
        <w:tc>
          <w:tcPr>
            <w:tcW w:type="dxa" w:w="2412"/>
          </w:tcPr>
          <w:p>
            <w:r>
              <w:rPr>
                <w:sz w:val="17"/>
              </w:rPr>
              <w:t>Audit</w:t>
            </w:r>
          </w:p>
        </w:tc>
      </w:tr>
      <w:tr>
        <w:tc>
          <w:tcPr>
            <w:tcW w:type="dxa" w:w="2412"/>
          </w:tcPr>
          <w:p>
            <w:r>
              <w:rPr>
                <w:sz w:val="17"/>
              </w:rPr>
              <w:t>FR-17</w:t>
            </w:r>
          </w:p>
        </w:tc>
        <w:tc>
          <w:tcPr>
            <w:tcW w:type="dxa" w:w="2412"/>
          </w:tcPr>
          <w:p>
            <w:r>
              <w:rPr>
                <w:sz w:val="17"/>
              </w:rPr>
              <w:t>Registered consumer list⚠ Every consumer registers at connection time. An interface with unknown consumers cannot be switched off.</w:t>
            </w:r>
          </w:p>
        </w:tc>
        <w:tc>
          <w:tcPr>
            <w:tcW w:type="dxa" w:w="2412"/>
          </w:tcPr>
          <w:p>
            <w:r>
              <w:rPr>
                <w:sz w:val="17"/>
              </w:rPr>
              <w:t>Must</w:t>
            </w:r>
          </w:p>
        </w:tc>
        <w:tc>
          <w:tcPr>
            <w:tcW w:type="dxa" w:w="2412"/>
          </w:tcPr>
          <w:p>
            <w:r>
              <w:rPr>
                <w:sz w:val="17"/>
              </w:rPr>
              <w:t>Inspection</w:t>
            </w:r>
          </w:p>
        </w:tc>
      </w:tr>
      <w:tr>
        <w:tc>
          <w:tcPr>
            <w:tcW w:type="dxa" w:w="2412"/>
          </w:tcPr>
          <w:p>
            <w:r>
              <w:rPr>
                <w:sz w:val="17"/>
              </w:rPr>
              <w:t>FR-18</w:t>
            </w:r>
          </w:p>
        </w:tc>
        <w:tc>
          <w:tcPr>
            <w:tcW w:type="dxa" w:w="2412"/>
          </w:tcPr>
          <w:p>
            <w:r>
              <w:rPr>
                <w:sz w:val="17"/>
              </w:rPr>
              <w:t>Traffic observable per interface per consumerVolume by consumer, so zero traffic can be evidenced rather than assumed</w:t>
            </w:r>
          </w:p>
        </w:tc>
        <w:tc>
          <w:tcPr>
            <w:tcW w:type="dxa" w:w="2412"/>
          </w:tcPr>
          <w:p>
            <w:r>
              <w:rPr>
                <w:sz w:val="17"/>
              </w:rPr>
              <w:t>Must</w:t>
            </w:r>
          </w:p>
        </w:tc>
        <w:tc>
          <w:tcPr>
            <w:tcW w:type="dxa" w:w="2412"/>
          </w:tcPr>
          <w:p>
            <w:r>
              <w:rPr>
                <w:sz w:val="17"/>
              </w:rPr>
              <w:t>Analysis</w:t>
            </w:r>
          </w:p>
        </w:tc>
      </w:tr>
      <w:tr>
        <w:tc>
          <w:tcPr>
            <w:tcW w:type="dxa" w:w="2412"/>
          </w:tcPr>
          <w:p>
            <w:r>
              <w:rPr>
                <w:sz w:val="17"/>
              </w:rPr>
              <w:t>FR-19</w:t>
            </w:r>
          </w:p>
        </w:tc>
        <w:tc>
          <w:tcPr>
            <w:tcW w:type="dxa" w:w="2412"/>
          </w:tcPr>
          <w:p>
            <w:r>
              <w:rPr>
                <w:sz w:val="17"/>
              </w:rPr>
              <w:t>Retirement is evidenced by zero traffic⚠ A defined quiet period with no traffic from any registered consumer — not a belief that nothing uses i</w:t>
            </w:r>
          </w:p>
        </w:tc>
        <w:tc>
          <w:tcPr>
            <w:tcW w:type="dxa" w:w="2412"/>
          </w:tcPr>
          <w:p>
            <w:r>
              <w:rPr>
                <w:sz w:val="17"/>
              </w:rPr>
              <w:t>Must</w:t>
            </w:r>
          </w:p>
        </w:tc>
        <w:tc>
          <w:tcPr>
            <w:tcW w:type="dxa" w:w="2412"/>
          </w:tcPr>
          <w:p>
            <w:r>
              <w:rPr>
                <w:sz w:val="17"/>
              </w:rPr>
              <w:t>Inspection</w:t>
            </w:r>
          </w:p>
        </w:tc>
      </w:tr>
      <w:tr>
        <w:tc>
          <w:tcPr>
            <w:tcW w:type="dxa" w:w="2412"/>
          </w:tcPr>
          <w:p>
            <w:r>
              <w:rPr>
                <w:sz w:val="17"/>
              </w:rPr>
              <w:t>FR-20</w:t>
            </w:r>
          </w:p>
        </w:tc>
        <w:tc>
          <w:tcPr>
            <w:tcW w:type="dxa" w:w="2412"/>
          </w:tcPr>
          <w:p>
            <w:r>
              <w:rPr>
                <w:sz w:val="17"/>
              </w:rPr>
              <w:t>Interface-level shutdownInterfaces retire individually. ⚠ The layer is not all-or-nothing.</w:t>
            </w:r>
          </w:p>
        </w:tc>
        <w:tc>
          <w:tcPr>
            <w:tcW w:type="dxa" w:w="2412"/>
          </w:tcPr>
          <w:p>
            <w:r>
              <w:rPr>
                <w:sz w:val="17"/>
              </w:rPr>
              <w:t>Must</w:t>
            </w:r>
          </w:p>
        </w:tc>
        <w:tc>
          <w:tcPr>
            <w:tcW w:type="dxa" w:w="2412"/>
          </w:tcPr>
          <w:p>
            <w:r>
              <w:rPr>
                <w:sz w:val="17"/>
              </w:rPr>
              <w:t>Test</w:t>
            </w:r>
          </w:p>
        </w:tc>
      </w:tr>
      <w:tr>
        <w:tc>
          <w:tcPr>
            <w:tcW w:type="dxa" w:w="2412"/>
          </w:tcPr>
          <w:p>
            <w:r>
              <w:rPr>
                <w:sz w:val="17"/>
              </w:rPr>
              <w:t>FR-21</w:t>
            </w:r>
          </w:p>
        </w:tc>
        <w:tc>
          <w:tcPr>
            <w:tcW w:type="dxa" w:w="2412"/>
          </w:tcPr>
          <w:p>
            <w:r>
              <w:rPr>
                <w:sz w:val="17"/>
              </w:rPr>
              <w:t>No persistent store beyond the replay window⚠ State makes the layer a system of record, and a system of record cannot be deleted</w:t>
            </w:r>
          </w:p>
        </w:tc>
        <w:tc>
          <w:tcPr>
            <w:tcW w:type="dxa" w:w="2412"/>
          </w:tcPr>
          <w:p>
            <w:r>
              <w:rPr>
                <w:sz w:val="17"/>
              </w:rPr>
              <w:t>Must</w:t>
            </w:r>
          </w:p>
        </w:tc>
        <w:tc>
          <w:tcPr>
            <w:tcW w:type="dxa" w:w="2412"/>
          </w:tcPr>
          <w:p>
            <w:r>
              <w:rPr>
                <w:sz w:val="17"/>
              </w:rPr>
              <w:t>Analysis</w:t>
            </w:r>
          </w:p>
        </w:tc>
      </w:tr>
      <w:tr>
        <w:tc>
          <w:tcPr>
            <w:tcW w:type="dxa" w:w="2412"/>
          </w:tcPr>
          <w:p>
            <w:r>
              <w:rPr>
                <w:sz w:val="17"/>
              </w:rPr>
              <w:t>FR-22</w:t>
            </w:r>
          </w:p>
        </w:tc>
        <w:tc>
          <w:tcPr>
            <w:tcW w:type="dxa" w:w="2412"/>
          </w:tcPr>
          <w:p>
            <w:r>
              <w:rPr>
                <w:sz w:val="17"/>
              </w:rPr>
              <w:t>New business rules are refused⚠ A change request adding logic to the layer is rejected and redirected to the owning system, with the refusal</w:t>
            </w:r>
          </w:p>
        </w:tc>
        <w:tc>
          <w:tcPr>
            <w:tcW w:type="dxa" w:w="2412"/>
          </w:tcPr>
          <w:p>
            <w:r>
              <w:rPr>
                <w:sz w:val="17"/>
              </w:rPr>
              <w:t>Must</w:t>
            </w:r>
          </w:p>
        </w:tc>
        <w:tc>
          <w:tcPr>
            <w:tcW w:type="dxa" w:w="2412"/>
          </w:tcPr>
          <w:p>
            <w:r>
              <w:rPr>
                <w:sz w:val="17"/>
              </w:rPr>
              <w:t>Inspection</w:t>
            </w:r>
          </w:p>
        </w:tc>
      </w:tr>
      <w:tr>
        <w:tc>
          <w:tcPr>
            <w:tcW w:type="dxa" w:w="2412"/>
          </w:tcPr>
          <w:p>
            <w:r>
              <w:rPr>
                <w:sz w:val="17"/>
              </w:rPr>
              <w:t>FR-23</w:t>
            </w:r>
          </w:p>
        </w:tc>
        <w:tc>
          <w:tcPr>
            <w:tcW w:type="dxa" w:w="2412"/>
          </w:tcPr>
          <w:p>
            <w:r>
              <w:rPr>
                <w:sz w:val="17"/>
              </w:rPr>
              <w:t>Decommissioning documented per interfaceWhat it did, what replaced it, when traffic stopped</w:t>
            </w:r>
          </w:p>
        </w:tc>
        <w:tc>
          <w:tcPr>
            <w:tcW w:type="dxa" w:w="2412"/>
          </w:tcPr>
          <w:p>
            <w:r>
              <w:rPr>
                <w:sz w:val="17"/>
              </w:rPr>
              <w:t>Should</w:t>
            </w:r>
          </w:p>
        </w:tc>
        <w:tc>
          <w:tcPr>
            <w:tcW w:type="dxa" w:w="2412"/>
          </w:tcPr>
          <w:p>
            <w:r>
              <w:rPr>
                <w:sz w:val="17"/>
              </w:rPr>
              <w:t>Inspection</w:t>
            </w:r>
          </w:p>
        </w:tc>
      </w:tr>
      <w:tr>
        <w:tc>
          <w:tcPr>
            <w:tcW w:type="dxa" w:w="2412"/>
          </w:tcPr>
          <w:p>
            <w:r>
              <w:rPr>
                <w:sz w:val="17"/>
              </w:rPr>
              <w:t>NFR-01</w:t>
            </w:r>
          </w:p>
        </w:tc>
        <w:tc>
          <w:tcPr>
            <w:tcW w:type="dxa" w:w="2412"/>
          </w:tcPr>
          <w:p>
            <w:r>
              <w:rPr>
                <w:sz w:val="17"/>
              </w:rPr>
              <w:t>Eligibility response latency⚠ Within the point-of-service window. This sits in front of a pharmacy counter.</w:t>
            </w:r>
          </w:p>
        </w:tc>
        <w:tc>
          <w:tcPr>
            <w:tcW w:type="dxa" w:w="2412"/>
          </w:tcPr>
          <w:p>
            <w:r>
              <w:rPr>
                <w:sz w:val="17"/>
              </w:rPr>
              <w:t>Must</w:t>
            </w:r>
          </w:p>
        </w:tc>
        <w:tc>
          <w:tcPr>
            <w:tcW w:type="dxa" w:w="2412"/>
          </w:tcPr>
          <w:p>
            <w:r>
              <w:rPr>
                <w:sz w:val="17"/>
              </w:rPr>
              <w:t>Analysis</w:t>
            </w:r>
          </w:p>
        </w:tc>
      </w:tr>
      <w:tr>
        <w:tc>
          <w:tcPr>
            <w:tcW w:type="dxa" w:w="2412"/>
          </w:tcPr>
          <w:p>
            <w:r>
              <w:rPr>
                <w:sz w:val="17"/>
              </w:rPr>
              <w:t>NFR-02</w:t>
            </w:r>
          </w:p>
        </w:tc>
        <w:tc>
          <w:tcPr>
            <w:tcW w:type="dxa" w:w="2412"/>
          </w:tcPr>
          <w:p>
            <w:r>
              <w:rPr>
                <w:sz w:val="17"/>
              </w:rPr>
              <w:t>Accumulator propagationNear real time, measured end to end rather than at the layer boundary</w:t>
            </w:r>
          </w:p>
        </w:tc>
        <w:tc>
          <w:tcPr>
            <w:tcW w:type="dxa" w:w="2412"/>
          </w:tcPr>
          <w:p>
            <w:r>
              <w:rPr>
                <w:sz w:val="17"/>
              </w:rPr>
              <w:t>Must</w:t>
            </w:r>
          </w:p>
        </w:tc>
        <w:tc>
          <w:tcPr>
            <w:tcW w:type="dxa" w:w="2412"/>
          </w:tcPr>
          <w:p>
            <w:r>
              <w:rPr>
                <w:sz w:val="17"/>
              </w:rPr>
              <w:t>Test</w:t>
            </w:r>
          </w:p>
        </w:tc>
      </w:tr>
      <w:tr>
        <w:tc>
          <w:tcPr>
            <w:tcW w:type="dxa" w:w="2412"/>
          </w:tcPr>
          <w:p>
            <w:r>
              <w:rPr>
                <w:sz w:val="17"/>
              </w:rPr>
              <w:t>NFR-03</w:t>
            </w:r>
          </w:p>
        </w:tc>
        <w:tc>
          <w:tcPr>
            <w:tcW w:type="dxa" w:w="2412"/>
          </w:tcPr>
          <w:p>
            <w:r>
              <w:rPr>
                <w:sz w:val="17"/>
              </w:rPr>
              <w:t>ThroughputPeak daily claim and enrollment volume with headroom for catch-up after an outage</w:t>
            </w:r>
          </w:p>
        </w:tc>
        <w:tc>
          <w:tcPr>
            <w:tcW w:type="dxa" w:w="2412"/>
          </w:tcPr>
          <w:p>
            <w:r>
              <w:rPr>
                <w:sz w:val="17"/>
              </w:rPr>
              <w:t>Must</w:t>
            </w:r>
          </w:p>
        </w:tc>
        <w:tc>
          <w:tcPr>
            <w:tcW w:type="dxa" w:w="2412"/>
          </w:tcPr>
          <w:p>
            <w:r>
              <w:rPr>
                <w:sz w:val="17"/>
              </w:rPr>
              <w:t>Analysis</w:t>
            </w:r>
          </w:p>
        </w:tc>
      </w:tr>
      <w:tr>
        <w:tc>
          <w:tcPr>
            <w:tcW w:type="dxa" w:w="2412"/>
          </w:tcPr>
          <w:p>
            <w:r>
              <w:rPr>
                <w:sz w:val="17"/>
              </w:rPr>
              <w:t>NFR-04</w:t>
            </w:r>
          </w:p>
        </w:tc>
        <w:tc>
          <w:tcPr>
            <w:tcW w:type="dxa" w:w="2412"/>
          </w:tcPr>
          <w:p>
            <w:r>
              <w:rPr>
                <w:sz w:val="17"/>
              </w:rPr>
              <w:t>AvailabilityTier 1. ⚠ An outage does not lose messages — it delays them.</w:t>
            </w:r>
          </w:p>
        </w:tc>
        <w:tc>
          <w:tcPr>
            <w:tcW w:type="dxa" w:w="2412"/>
          </w:tcPr>
          <w:p>
            <w:r>
              <w:rPr>
                <w:sz w:val="17"/>
              </w:rPr>
              <w:t>Must</w:t>
            </w:r>
          </w:p>
        </w:tc>
        <w:tc>
          <w:tcPr>
            <w:tcW w:type="dxa" w:w="2412"/>
          </w:tcPr>
          <w:p>
            <w:r>
              <w:rPr>
                <w:sz w:val="17"/>
              </w:rPr>
              <w:t>Test</w:t>
            </w:r>
          </w:p>
        </w:tc>
      </w:tr>
      <w:tr>
        <w:tc>
          <w:tcPr>
            <w:tcW w:type="dxa" w:w="2412"/>
          </w:tcPr>
          <w:p>
            <w:r>
              <w:rPr>
                <w:sz w:val="17"/>
              </w:rPr>
              <w:t>NFR-05</w:t>
            </w:r>
          </w:p>
        </w:tc>
        <w:tc>
          <w:tcPr>
            <w:tcW w:type="dxa" w:w="2412"/>
          </w:tcPr>
          <w:p>
            <w:r>
              <w:rPr>
                <w:sz w:val="17"/>
              </w:rPr>
              <w:t>SecurityEncrypted in transit and at rest; PHI never logged in clear</w:t>
            </w:r>
          </w:p>
        </w:tc>
        <w:tc>
          <w:tcPr>
            <w:tcW w:type="dxa" w:w="2412"/>
          </w:tcPr>
          <w:p>
            <w:r>
              <w:rPr>
                <w:sz w:val="17"/>
              </w:rPr>
              <w:t>Must</w:t>
            </w:r>
          </w:p>
        </w:tc>
        <w:tc>
          <w:tcPr>
            <w:tcW w:type="dxa" w:w="2412"/>
          </w:tcPr>
          <w:p>
            <w:r>
              <w:rPr>
                <w:sz w:val="17"/>
              </w:rPr>
              <w:t>Test</w:t>
            </w:r>
          </w:p>
        </w:tc>
      </w:tr>
      <w:tr>
        <w:tc>
          <w:tcPr>
            <w:tcW w:type="dxa" w:w="2412"/>
          </w:tcPr>
          <w:p>
            <w:r>
              <w:rPr>
                <w:sz w:val="17"/>
              </w:rPr>
              <w:t>NFR-06</w:t>
            </w:r>
          </w:p>
        </w:tc>
        <w:tc>
          <w:tcPr>
            <w:tcW w:type="dxa" w:w="2412"/>
          </w:tcPr>
          <w:p>
            <w:r>
              <w:rPr>
                <w:sz w:val="17"/>
              </w:rPr>
              <w:t>ObservabilityPer-interface, per-consumer volume and error rates, retained through retirement</w:t>
            </w:r>
          </w:p>
        </w:tc>
        <w:tc>
          <w:tcPr>
            <w:tcW w:type="dxa" w:w="2412"/>
          </w:tcPr>
          <w:p>
            <w:r>
              <w:rPr>
                <w:sz w:val="17"/>
              </w:rPr>
              <w:t>Must</w:t>
            </w:r>
          </w:p>
        </w:tc>
        <w:tc>
          <w:tcPr>
            <w:tcW w:type="dxa" w:w="2412"/>
          </w:tcPr>
          <w:p>
            <w:r>
              <w:rPr>
                <w:sz w:val="17"/>
              </w:rPr>
              <w:t>Inspection</w:t>
            </w:r>
          </w:p>
        </w:tc>
      </w:tr>
    </w:tbl>
    <w:p/>
    <w:p>
      <w:pPr>
        <w:spacing w:before="320"/>
      </w:pPr>
      <w:r>
        <w:rPr>
          <w:b/>
          <w:color w:val="12304A"/>
          <w:sz w:val="28"/>
        </w:rPr>
        <w:t>07 — BRD-04 Enterprise Data Warehouse (37 requirements · owner Dr. A. Ravindran)</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Req ID</w:t>
            </w:r>
          </w:p>
        </w:tc>
        <w:tc>
          <w:tcPr>
            <w:tcW w:type="dxa" w:w="2412"/>
          </w:tcPr>
          <w:p>
            <w:r>
              <w:rPr>
                <w:b/>
                <w:sz w:val="17"/>
              </w:rPr>
              <w:t>Requirement (from BRD-04)</w:t>
            </w:r>
          </w:p>
        </w:tc>
        <w:tc>
          <w:tcPr>
            <w:tcW w:type="dxa" w:w="2412"/>
          </w:tcPr>
          <w:p>
            <w:r>
              <w:rPr>
                <w:b/>
                <w:sz w:val="17"/>
              </w:rPr>
              <w:t>Priority</w:t>
            </w:r>
          </w:p>
        </w:tc>
        <w:tc>
          <w:tcPr>
            <w:tcW w:type="dxa" w:w="2412"/>
          </w:tcPr>
          <w:p>
            <w:r>
              <w:rPr>
                <w:b/>
                <w:sz w:val="17"/>
              </w:rPr>
              <w:t>Verification method</w:t>
            </w:r>
          </w:p>
        </w:tc>
      </w:tr>
      <w:tr>
        <w:tc>
          <w:tcPr>
            <w:tcW w:type="dxa" w:w="2412"/>
          </w:tcPr>
          <w:p>
            <w:r>
              <w:rPr>
                <w:sz w:val="17"/>
              </w:rPr>
              <w:t>FR-01</w:t>
            </w:r>
          </w:p>
        </w:tc>
        <w:tc>
          <w:tcPr>
            <w:tcW w:type="dxa" w:w="2412"/>
          </w:tcPr>
          <w:p>
            <w:r>
              <w:rPr>
                <w:sz w:val="17"/>
              </w:rPr>
              <w:t>One definition per measure, signed by both entities⚠ Member month, covered life, paid claim, incurred date, allowed amount. Agreed and signed before the model is</w:t>
            </w:r>
          </w:p>
        </w:tc>
        <w:tc>
          <w:tcPr>
            <w:tcW w:type="dxa" w:w="2412"/>
          </w:tcPr>
          <w:p>
            <w:r>
              <w:rPr>
                <w:sz w:val="17"/>
              </w:rPr>
              <w:t>Must</w:t>
            </w:r>
          </w:p>
        </w:tc>
        <w:tc>
          <w:tcPr>
            <w:tcW w:type="dxa" w:w="2412"/>
          </w:tcPr>
          <w:p>
            <w:r>
              <w:rPr>
                <w:sz w:val="17"/>
              </w:rPr>
              <w:t>Inspection</w:t>
            </w:r>
          </w:p>
        </w:tc>
      </w:tr>
      <w:tr>
        <w:tc>
          <w:tcPr>
            <w:tcW w:type="dxa" w:w="2412"/>
          </w:tcPr>
          <w:p>
            <w:r>
              <w:rPr>
                <w:sz w:val="17"/>
              </w:rPr>
              <w:t>FR-02</w:t>
            </w:r>
          </w:p>
        </w:tc>
        <w:tc>
          <w:tcPr>
            <w:tcW w:type="dxa" w:w="2412"/>
          </w:tcPr>
          <w:p>
            <w:r>
              <w:rPr>
                <w:sz w:val="17"/>
              </w:rPr>
              <w:t>Conformed member dimensionKeyed on the enterprise member identifier, with both source identifiers retained</w:t>
            </w:r>
          </w:p>
        </w:tc>
        <w:tc>
          <w:tcPr>
            <w:tcW w:type="dxa" w:w="2412"/>
          </w:tcPr>
          <w:p>
            <w:r>
              <w:rPr>
                <w:sz w:val="17"/>
              </w:rPr>
              <w:t>Must</w:t>
            </w:r>
          </w:p>
        </w:tc>
        <w:tc>
          <w:tcPr>
            <w:tcW w:type="dxa" w:w="2412"/>
          </w:tcPr>
          <w:p>
            <w:r>
              <w:rPr>
                <w:sz w:val="17"/>
              </w:rPr>
              <w:t>Inspection</w:t>
            </w:r>
          </w:p>
        </w:tc>
      </w:tr>
      <w:tr>
        <w:tc>
          <w:tcPr>
            <w:tcW w:type="dxa" w:w="2412"/>
          </w:tcPr>
          <w:p>
            <w:r>
              <w:rPr>
                <w:sz w:val="17"/>
              </w:rPr>
              <w:t>FR-03</w:t>
            </w:r>
          </w:p>
        </w:tc>
        <w:tc>
          <w:tcPr>
            <w:tcW w:type="dxa" w:w="2412"/>
          </w:tcPr>
          <w:p>
            <w:r>
              <w:rPr>
                <w:sz w:val="17"/>
              </w:rPr>
              <w:t>Conformed provider dimension⚠ A provider contracted with both entities is one provider with two contracts, not two providers</w:t>
            </w:r>
          </w:p>
        </w:tc>
        <w:tc>
          <w:tcPr>
            <w:tcW w:type="dxa" w:w="2412"/>
          </w:tcPr>
          <w:p>
            <w:r>
              <w:rPr>
                <w:sz w:val="17"/>
              </w:rPr>
              <w:t>Must</w:t>
            </w:r>
          </w:p>
        </w:tc>
        <w:tc>
          <w:tcPr>
            <w:tcW w:type="dxa" w:w="2412"/>
          </w:tcPr>
          <w:p>
            <w:r>
              <w:rPr>
                <w:sz w:val="17"/>
              </w:rPr>
              <w:t>Test</w:t>
            </w:r>
          </w:p>
        </w:tc>
      </w:tr>
      <w:tr>
        <w:tc>
          <w:tcPr>
            <w:tcW w:type="dxa" w:w="2412"/>
          </w:tcPr>
          <w:p>
            <w:r>
              <w:rPr>
                <w:sz w:val="17"/>
              </w:rPr>
              <w:t>FR-04</w:t>
            </w:r>
          </w:p>
        </w:tc>
        <w:tc>
          <w:tcPr>
            <w:tcW w:type="dxa" w:w="2412"/>
          </w:tcPr>
          <w:p>
            <w:r>
              <w:rPr>
                <w:sz w:val="17"/>
              </w:rPr>
              <w:t>Conformed date dimensionService, incurred, paid and processed dates distinguished. ⚠ Reports must state which they use.</w:t>
            </w:r>
          </w:p>
        </w:tc>
        <w:tc>
          <w:tcPr>
            <w:tcW w:type="dxa" w:w="2412"/>
          </w:tcPr>
          <w:p>
            <w:r>
              <w:rPr>
                <w:sz w:val="17"/>
              </w:rPr>
              <w:t>Must</w:t>
            </w:r>
          </w:p>
        </w:tc>
        <w:tc>
          <w:tcPr>
            <w:tcW w:type="dxa" w:w="2412"/>
          </w:tcPr>
          <w:p>
            <w:r>
              <w:rPr>
                <w:sz w:val="17"/>
              </w:rPr>
              <w:t>Test</w:t>
            </w:r>
          </w:p>
        </w:tc>
      </w:tr>
      <w:tr>
        <w:tc>
          <w:tcPr>
            <w:tcW w:type="dxa" w:w="2412"/>
          </w:tcPr>
          <w:p>
            <w:r>
              <w:rPr>
                <w:sz w:val="17"/>
              </w:rPr>
              <w:t>FR-05</w:t>
            </w:r>
          </w:p>
        </w:tc>
        <w:tc>
          <w:tcPr>
            <w:tcW w:type="dxa" w:w="2412"/>
          </w:tcPr>
          <w:p>
            <w:r>
              <w:rPr>
                <w:sz w:val="17"/>
              </w:rPr>
              <w:t>Slowly changing dimensionsMember, provider and benefit attributes carry effective dating. A report as at March uses March's attributes.</w:t>
            </w:r>
          </w:p>
        </w:tc>
        <w:tc>
          <w:tcPr>
            <w:tcW w:type="dxa" w:w="2412"/>
          </w:tcPr>
          <w:p>
            <w:r>
              <w:rPr>
                <w:sz w:val="17"/>
              </w:rPr>
              <w:t>Must</w:t>
            </w:r>
          </w:p>
        </w:tc>
        <w:tc>
          <w:tcPr>
            <w:tcW w:type="dxa" w:w="2412"/>
          </w:tcPr>
          <w:p>
            <w:r>
              <w:rPr>
                <w:sz w:val="17"/>
              </w:rPr>
              <w:t>Test</w:t>
            </w:r>
          </w:p>
        </w:tc>
      </w:tr>
      <w:tr>
        <w:tc>
          <w:tcPr>
            <w:tcW w:type="dxa" w:w="2412"/>
          </w:tcPr>
          <w:p>
            <w:r>
              <w:rPr>
                <w:sz w:val="17"/>
              </w:rPr>
              <w:t>FR-06</w:t>
            </w:r>
          </w:p>
        </w:tc>
        <w:tc>
          <w:tcPr>
            <w:tcW w:type="dxa" w:w="2412"/>
          </w:tcPr>
          <w:p>
            <w:r>
              <w:rPr>
                <w:sz w:val="17"/>
              </w:rPr>
              <w:t>Source system lineageEvery fact traceable to its source system and load</w:t>
            </w:r>
          </w:p>
        </w:tc>
        <w:tc>
          <w:tcPr>
            <w:tcW w:type="dxa" w:w="2412"/>
          </w:tcPr>
          <w:p>
            <w:r>
              <w:rPr>
                <w:sz w:val="17"/>
              </w:rPr>
              <w:t>Must</w:t>
            </w:r>
          </w:p>
        </w:tc>
        <w:tc>
          <w:tcPr>
            <w:tcW w:type="dxa" w:w="2412"/>
          </w:tcPr>
          <w:p>
            <w:r>
              <w:rPr>
                <w:sz w:val="17"/>
              </w:rPr>
              <w:t>Inspection</w:t>
            </w:r>
          </w:p>
        </w:tc>
      </w:tr>
      <w:tr>
        <w:tc>
          <w:tcPr>
            <w:tcW w:type="dxa" w:w="2412"/>
          </w:tcPr>
          <w:p>
            <w:r>
              <w:rPr>
                <w:sz w:val="17"/>
              </w:rPr>
              <w:t>FR-07</w:t>
            </w:r>
          </w:p>
        </w:tc>
        <w:tc>
          <w:tcPr>
            <w:tcW w:type="dxa" w:w="2412"/>
          </w:tcPr>
          <w:p>
            <w:r>
              <w:rPr>
                <w:sz w:val="17"/>
              </w:rPr>
              <w:t>Business glossary publishedDefinitions visible to consumers, not held in the model only</w:t>
            </w:r>
          </w:p>
        </w:tc>
        <w:tc>
          <w:tcPr>
            <w:tcW w:type="dxa" w:w="2412"/>
          </w:tcPr>
          <w:p>
            <w:r>
              <w:rPr>
                <w:sz w:val="17"/>
              </w:rPr>
              <w:t>Should</w:t>
            </w:r>
          </w:p>
        </w:tc>
        <w:tc>
          <w:tcPr>
            <w:tcW w:type="dxa" w:w="2412"/>
          </w:tcPr>
          <w:p>
            <w:r>
              <w:rPr>
                <w:sz w:val="17"/>
              </w:rPr>
              <w:t>Inspection</w:t>
            </w:r>
          </w:p>
        </w:tc>
      </w:tr>
      <w:tr>
        <w:tc>
          <w:tcPr>
            <w:tcW w:type="dxa" w:w="2412"/>
          </w:tcPr>
          <w:p>
            <w:r>
              <w:rPr>
                <w:sz w:val="17"/>
              </w:rPr>
              <w:t>FR-08</w:t>
            </w:r>
          </w:p>
        </w:tc>
        <w:tc>
          <w:tcPr>
            <w:tcW w:type="dxa" w:w="2412"/>
          </w:tcPr>
          <w:p>
            <w:r>
              <w:rPr>
                <w:sz w:val="17"/>
              </w:rPr>
              <w:t>Both histories loadedClaims and enrollment history from both entities for the statutory retention period</w:t>
            </w:r>
          </w:p>
        </w:tc>
        <w:tc>
          <w:tcPr>
            <w:tcW w:type="dxa" w:w="2412"/>
          </w:tcPr>
          <w:p>
            <w:r>
              <w:rPr>
                <w:sz w:val="17"/>
              </w:rPr>
              <w:t>Must</w:t>
            </w:r>
          </w:p>
        </w:tc>
        <w:tc>
          <w:tcPr>
            <w:tcW w:type="dxa" w:w="2412"/>
          </w:tcPr>
          <w:p>
            <w:r>
              <w:rPr>
                <w:sz w:val="17"/>
              </w:rPr>
              <w:t>Test</w:t>
            </w:r>
          </w:p>
        </w:tc>
      </w:tr>
      <w:tr>
        <w:tc>
          <w:tcPr>
            <w:tcW w:type="dxa" w:w="2412"/>
          </w:tcPr>
          <w:p>
            <w:r>
              <w:rPr>
                <w:sz w:val="17"/>
              </w:rPr>
              <w:t>FR-09</w:t>
            </w:r>
          </w:p>
        </w:tc>
        <w:tc>
          <w:tcPr>
            <w:tcW w:type="dxa" w:w="2412"/>
          </w:tcPr>
          <w:p>
            <w:r>
              <w:rPr>
                <w:sz w:val="17"/>
              </w:rPr>
              <w:t>History restated to conformed definitions⚠ Prior periods recomputed on the agreed definitions, so a trend line crossing the merge is comparable</w:t>
            </w:r>
          </w:p>
        </w:tc>
        <w:tc>
          <w:tcPr>
            <w:tcW w:type="dxa" w:w="2412"/>
          </w:tcPr>
          <w:p>
            <w:r>
              <w:rPr>
                <w:sz w:val="17"/>
              </w:rPr>
              <w:t>Must</w:t>
            </w:r>
          </w:p>
        </w:tc>
        <w:tc>
          <w:tcPr>
            <w:tcW w:type="dxa" w:w="2412"/>
          </w:tcPr>
          <w:p>
            <w:r>
              <w:rPr>
                <w:sz w:val="17"/>
              </w:rPr>
              <w:t>Test</w:t>
            </w:r>
          </w:p>
        </w:tc>
      </w:tr>
      <w:tr>
        <w:tc>
          <w:tcPr>
            <w:tcW w:type="dxa" w:w="2412"/>
          </w:tcPr>
          <w:p>
            <w:r>
              <w:rPr>
                <w:sz w:val="17"/>
              </w:rPr>
              <w:t>FR-10</w:t>
            </w:r>
          </w:p>
        </w:tc>
        <w:tc>
          <w:tcPr>
            <w:tcW w:type="dxa" w:w="2412"/>
          </w:tcPr>
          <w:p>
            <w:r>
              <w:rPr>
                <w:sz w:val="17"/>
              </w:rPr>
              <w:t>Pre-merge and post-merge distinguishableA consumer can always separate the combined view from either legacy view</w:t>
            </w:r>
          </w:p>
        </w:tc>
        <w:tc>
          <w:tcPr>
            <w:tcW w:type="dxa" w:w="2412"/>
          </w:tcPr>
          <w:p>
            <w:r>
              <w:rPr>
                <w:sz w:val="17"/>
              </w:rPr>
              <w:t>Must</w:t>
            </w:r>
          </w:p>
        </w:tc>
        <w:tc>
          <w:tcPr>
            <w:tcW w:type="dxa" w:w="2412"/>
          </w:tcPr>
          <w:p>
            <w:r>
              <w:rPr>
                <w:sz w:val="17"/>
              </w:rPr>
              <w:t>Test</w:t>
            </w:r>
          </w:p>
        </w:tc>
      </w:tr>
      <w:tr>
        <w:tc>
          <w:tcPr>
            <w:tcW w:type="dxa" w:w="2412"/>
          </w:tcPr>
          <w:p>
            <w:r>
              <w:rPr>
                <w:sz w:val="17"/>
              </w:rPr>
              <w:t>FR-11</w:t>
            </w:r>
          </w:p>
        </w:tc>
        <w:tc>
          <w:tcPr>
            <w:tcW w:type="dxa" w:w="2412"/>
          </w:tcPr>
          <w:p>
            <w:r>
              <w:rPr>
                <w:sz w:val="17"/>
              </w:rPr>
              <w:t>Restatement is documented and dated⚠ Any restated figure carries the basis and the date of restatement</w:t>
            </w:r>
          </w:p>
        </w:tc>
        <w:tc>
          <w:tcPr>
            <w:tcW w:type="dxa" w:w="2412"/>
          </w:tcPr>
          <w:p>
            <w:r>
              <w:rPr>
                <w:sz w:val="17"/>
              </w:rPr>
              <w:t>Must</w:t>
            </w:r>
          </w:p>
        </w:tc>
        <w:tc>
          <w:tcPr>
            <w:tcW w:type="dxa" w:w="2412"/>
          </w:tcPr>
          <w:p>
            <w:r>
              <w:rPr>
                <w:sz w:val="17"/>
              </w:rPr>
              <w:t>Inspection</w:t>
            </w:r>
          </w:p>
        </w:tc>
      </w:tr>
      <w:tr>
        <w:tc>
          <w:tcPr>
            <w:tcW w:type="dxa" w:w="2412"/>
          </w:tcPr>
          <w:p>
            <w:r>
              <w:rPr>
                <w:sz w:val="17"/>
              </w:rPr>
              <w:t>FR-12</w:t>
            </w:r>
          </w:p>
        </w:tc>
        <w:tc>
          <w:tcPr>
            <w:tcW w:type="dxa" w:w="2412"/>
          </w:tcPr>
          <w:p>
            <w:r>
              <w:rPr>
                <w:sz w:val="17"/>
              </w:rPr>
              <w:t>Archive retrievable after source retirement⚠ The retiring platform's history survives the platform. It is loaded, not referenced.</w:t>
            </w:r>
          </w:p>
        </w:tc>
        <w:tc>
          <w:tcPr>
            <w:tcW w:type="dxa" w:w="2412"/>
          </w:tcPr>
          <w:p>
            <w:r>
              <w:rPr>
                <w:sz w:val="17"/>
              </w:rPr>
              <w:t>Must</w:t>
            </w:r>
          </w:p>
        </w:tc>
        <w:tc>
          <w:tcPr>
            <w:tcW w:type="dxa" w:w="2412"/>
          </w:tcPr>
          <w:p>
            <w:r>
              <w:rPr>
                <w:sz w:val="17"/>
              </w:rPr>
              <w:t>Test</w:t>
            </w:r>
          </w:p>
        </w:tc>
      </w:tr>
      <w:tr>
        <w:tc>
          <w:tcPr>
            <w:tcW w:type="dxa" w:w="2412"/>
          </w:tcPr>
          <w:p>
            <w:r>
              <w:rPr>
                <w:sz w:val="17"/>
              </w:rPr>
              <w:t>FR-13</w:t>
            </w:r>
          </w:p>
        </w:tc>
        <w:tc>
          <w:tcPr>
            <w:tcW w:type="dxa" w:w="2412"/>
          </w:tcPr>
          <w:p>
            <w:r>
              <w:rPr>
                <w:sz w:val="17"/>
              </w:rPr>
              <w:t>Measure calculation to specificationQuality measures computed to the accrediting body's published specification, not to a local interpretation</w:t>
            </w:r>
          </w:p>
        </w:tc>
        <w:tc>
          <w:tcPr>
            <w:tcW w:type="dxa" w:w="2412"/>
          </w:tcPr>
          <w:p>
            <w:r>
              <w:rPr>
                <w:sz w:val="17"/>
              </w:rPr>
              <w:t>Must</w:t>
            </w:r>
          </w:p>
        </w:tc>
        <w:tc>
          <w:tcPr>
            <w:tcW w:type="dxa" w:w="2412"/>
          </w:tcPr>
          <w:p>
            <w:r>
              <w:rPr>
                <w:sz w:val="17"/>
              </w:rPr>
              <w:t>Test</w:t>
            </w:r>
          </w:p>
        </w:tc>
      </w:tr>
      <w:tr>
        <w:tc>
          <w:tcPr>
            <w:tcW w:type="dxa" w:w="2412"/>
          </w:tcPr>
          <w:p>
            <w:r>
              <w:rPr>
                <w:sz w:val="17"/>
              </w:rPr>
              <w:t>FR-14</w:t>
            </w:r>
          </w:p>
        </w:tc>
        <w:tc>
          <w:tcPr>
            <w:tcW w:type="dxa" w:w="2412"/>
          </w:tcPr>
          <w:p>
            <w:r>
              <w:rPr>
                <w:sz w:val="17"/>
              </w:rPr>
              <w:t>Measurement year integrity⚠ A measurement year is not switched mid-cycle. Cutting over mid-year invalidates the rates for that year.</w:t>
            </w:r>
          </w:p>
        </w:tc>
        <w:tc>
          <w:tcPr>
            <w:tcW w:type="dxa" w:w="2412"/>
          </w:tcPr>
          <w:p>
            <w:r>
              <w:rPr>
                <w:sz w:val="17"/>
              </w:rPr>
              <w:t>Must</w:t>
            </w:r>
          </w:p>
        </w:tc>
        <w:tc>
          <w:tcPr>
            <w:tcW w:type="dxa" w:w="2412"/>
          </w:tcPr>
          <w:p>
            <w:r>
              <w:rPr>
                <w:sz w:val="17"/>
              </w:rPr>
              <w:t>Test</w:t>
            </w:r>
          </w:p>
        </w:tc>
      </w:tr>
      <w:tr>
        <w:tc>
          <w:tcPr>
            <w:tcW w:type="dxa" w:w="2412"/>
          </w:tcPr>
          <w:p>
            <w:r>
              <w:rPr>
                <w:sz w:val="17"/>
              </w:rPr>
              <w:t>FR-15</w:t>
            </w:r>
          </w:p>
        </w:tc>
        <w:tc>
          <w:tcPr>
            <w:tcW w:type="dxa" w:w="2412"/>
          </w:tcPr>
          <w:p>
            <w:r>
              <w:rPr>
                <w:sz w:val="17"/>
              </w:rPr>
              <w:t>Submission-ready extractsIn the regulator's required format, with the audit trail supporting each figure</w:t>
            </w:r>
          </w:p>
        </w:tc>
        <w:tc>
          <w:tcPr>
            <w:tcW w:type="dxa" w:w="2412"/>
          </w:tcPr>
          <w:p>
            <w:r>
              <w:rPr>
                <w:sz w:val="17"/>
              </w:rPr>
              <w:t>Must</w:t>
            </w:r>
          </w:p>
        </w:tc>
        <w:tc>
          <w:tcPr>
            <w:tcW w:type="dxa" w:w="2412"/>
          </w:tcPr>
          <w:p>
            <w:r>
              <w:rPr>
                <w:sz w:val="17"/>
              </w:rPr>
              <w:t>Audit</w:t>
            </w:r>
          </w:p>
        </w:tc>
      </w:tr>
      <w:tr>
        <w:tc>
          <w:tcPr>
            <w:tcW w:type="dxa" w:w="2412"/>
          </w:tcPr>
          <w:p>
            <w:r>
              <w:rPr>
                <w:sz w:val="17"/>
              </w:rPr>
              <w:t>FR-16</w:t>
            </w:r>
          </w:p>
        </w:tc>
        <w:tc>
          <w:tcPr>
            <w:tcW w:type="dxa" w:w="2412"/>
          </w:tcPr>
          <w:p>
            <w:r>
              <w:rPr>
                <w:sz w:val="17"/>
              </w:rPr>
              <w:t>Reproducibility⚠ A filed figure can be reproduced later from retained data and the calculation version that produced it</w:t>
            </w:r>
          </w:p>
        </w:tc>
        <w:tc>
          <w:tcPr>
            <w:tcW w:type="dxa" w:w="2412"/>
          </w:tcPr>
          <w:p>
            <w:r>
              <w:rPr>
                <w:sz w:val="17"/>
              </w:rPr>
              <w:t>Must</w:t>
            </w:r>
          </w:p>
        </w:tc>
        <w:tc>
          <w:tcPr>
            <w:tcW w:type="dxa" w:w="2412"/>
          </w:tcPr>
          <w:p>
            <w:r>
              <w:rPr>
                <w:sz w:val="17"/>
              </w:rPr>
              <w:t>Inspection</w:t>
            </w:r>
          </w:p>
        </w:tc>
      </w:tr>
      <w:tr>
        <w:tc>
          <w:tcPr>
            <w:tcW w:type="dxa" w:w="2412"/>
          </w:tcPr>
          <w:p>
            <w:r>
              <w:rPr>
                <w:sz w:val="17"/>
              </w:rPr>
              <w:t>FR-17</w:t>
            </w:r>
          </w:p>
        </w:tc>
        <w:tc>
          <w:tcPr>
            <w:tcW w:type="dxa" w:w="2412"/>
          </w:tcPr>
          <w:p>
            <w:r>
              <w:rPr>
                <w:sz w:val="17"/>
              </w:rPr>
              <w:t>Combined-entity reporting from the first full cycleNo cycle reported on a partial population without disclosure</w:t>
            </w:r>
          </w:p>
        </w:tc>
        <w:tc>
          <w:tcPr>
            <w:tcW w:type="dxa" w:w="2412"/>
          </w:tcPr>
          <w:p>
            <w:r>
              <w:rPr>
                <w:sz w:val="17"/>
              </w:rPr>
              <w:t>Must</w:t>
            </w:r>
          </w:p>
        </w:tc>
        <w:tc>
          <w:tcPr>
            <w:tcW w:type="dxa" w:w="2412"/>
          </w:tcPr>
          <w:p>
            <w:r>
              <w:rPr>
                <w:sz w:val="17"/>
              </w:rPr>
              <w:t>Test</w:t>
            </w:r>
          </w:p>
        </w:tc>
      </w:tr>
      <w:tr>
        <w:tc>
          <w:tcPr>
            <w:tcW w:type="dxa" w:w="2412"/>
          </w:tcPr>
          <w:p>
            <w:r>
              <w:rPr>
                <w:sz w:val="17"/>
              </w:rPr>
              <w:t>FR-18</w:t>
            </w:r>
          </w:p>
        </w:tc>
        <w:tc>
          <w:tcPr>
            <w:tcW w:type="dxa" w:w="2412"/>
          </w:tcPr>
          <w:p>
            <w:r>
              <w:rPr>
                <w:sz w:val="17"/>
              </w:rPr>
              <w:t>Load reconciliationRecord counts and financial totals reconciled to source on every load</w:t>
            </w:r>
          </w:p>
        </w:tc>
        <w:tc>
          <w:tcPr>
            <w:tcW w:type="dxa" w:w="2412"/>
          </w:tcPr>
          <w:p>
            <w:r>
              <w:rPr>
                <w:sz w:val="17"/>
              </w:rPr>
              <w:t>Must</w:t>
            </w:r>
          </w:p>
        </w:tc>
        <w:tc>
          <w:tcPr>
            <w:tcW w:type="dxa" w:w="2412"/>
          </w:tcPr>
          <w:p>
            <w:r>
              <w:rPr>
                <w:sz w:val="17"/>
              </w:rPr>
              <w:t>Demonstration</w:t>
            </w:r>
          </w:p>
        </w:tc>
      </w:tr>
      <w:tr>
        <w:tc>
          <w:tcPr>
            <w:tcW w:type="dxa" w:w="2412"/>
          </w:tcPr>
          <w:p>
            <w:r>
              <w:rPr>
                <w:sz w:val="17"/>
              </w:rPr>
              <w:t>FR-19</w:t>
            </w:r>
          </w:p>
        </w:tc>
        <w:tc>
          <w:tcPr>
            <w:tcW w:type="dxa" w:w="2412"/>
          </w:tcPr>
          <w:p>
            <w:r>
              <w:rPr>
                <w:sz w:val="17"/>
              </w:rPr>
              <w:t>A failed load does not partially publish⚠ Either the load completes and reconciles, or the prior state stands. A half-loaded warehouse produces confid</w:t>
            </w:r>
          </w:p>
        </w:tc>
        <w:tc>
          <w:tcPr>
            <w:tcW w:type="dxa" w:w="2412"/>
          </w:tcPr>
          <w:p>
            <w:r>
              <w:rPr>
                <w:sz w:val="17"/>
              </w:rPr>
              <w:t>Must</w:t>
            </w:r>
          </w:p>
        </w:tc>
        <w:tc>
          <w:tcPr>
            <w:tcW w:type="dxa" w:w="2412"/>
          </w:tcPr>
          <w:p>
            <w:r>
              <w:rPr>
                <w:sz w:val="17"/>
              </w:rPr>
              <w:t>Demonstration</w:t>
            </w:r>
          </w:p>
        </w:tc>
      </w:tr>
      <w:tr>
        <w:tc>
          <w:tcPr>
            <w:tcW w:type="dxa" w:w="2412"/>
          </w:tcPr>
          <w:p>
            <w:r>
              <w:rPr>
                <w:sz w:val="17"/>
              </w:rPr>
              <w:t>FR-20</w:t>
            </w:r>
          </w:p>
        </w:tc>
        <w:tc>
          <w:tcPr>
            <w:tcW w:type="dxa" w:w="2412"/>
          </w:tcPr>
          <w:p>
            <w:r>
              <w:rPr>
                <w:sz w:val="17"/>
              </w:rPr>
              <w:t>Late-arriving data handledClaims received after a period closes update the period and are flagged as restating it</w:t>
            </w:r>
          </w:p>
        </w:tc>
        <w:tc>
          <w:tcPr>
            <w:tcW w:type="dxa" w:w="2412"/>
          </w:tcPr>
          <w:p>
            <w:r>
              <w:rPr>
                <w:sz w:val="17"/>
              </w:rPr>
              <w:t>Must</w:t>
            </w:r>
          </w:p>
        </w:tc>
        <w:tc>
          <w:tcPr>
            <w:tcW w:type="dxa" w:w="2412"/>
          </w:tcPr>
          <w:p>
            <w:r>
              <w:rPr>
                <w:sz w:val="17"/>
              </w:rPr>
              <w:t>Test</w:t>
            </w:r>
          </w:p>
        </w:tc>
      </w:tr>
      <w:tr>
        <w:tc>
          <w:tcPr>
            <w:tcW w:type="dxa" w:w="2412"/>
          </w:tcPr>
          <w:p>
            <w:r>
              <w:rPr>
                <w:sz w:val="17"/>
              </w:rPr>
              <w:t>FR-21</w:t>
            </w:r>
          </w:p>
        </w:tc>
        <w:tc>
          <w:tcPr>
            <w:tcW w:type="dxa" w:w="2412"/>
          </w:tcPr>
          <w:p>
            <w:r>
              <w:rPr>
                <w:sz w:val="17"/>
              </w:rPr>
              <w:t>Completeness monitoringExpected versus received volume per source per day, alerting on absence rather than only on error</w:t>
            </w:r>
          </w:p>
        </w:tc>
        <w:tc>
          <w:tcPr>
            <w:tcW w:type="dxa" w:w="2412"/>
          </w:tcPr>
          <w:p>
            <w:r>
              <w:rPr>
                <w:sz w:val="17"/>
              </w:rPr>
              <w:t>Must</w:t>
            </w:r>
          </w:p>
        </w:tc>
        <w:tc>
          <w:tcPr>
            <w:tcW w:type="dxa" w:w="2412"/>
          </w:tcPr>
          <w:p>
            <w:r>
              <w:rPr>
                <w:sz w:val="17"/>
              </w:rPr>
              <w:t>Analysis</w:t>
            </w:r>
          </w:p>
        </w:tc>
      </w:tr>
      <w:tr>
        <w:tc>
          <w:tcPr>
            <w:tcW w:type="dxa" w:w="2412"/>
          </w:tcPr>
          <w:p>
            <w:r>
              <w:rPr>
                <w:sz w:val="17"/>
              </w:rPr>
              <w:t>FR-22</w:t>
            </w:r>
          </w:p>
        </w:tc>
        <w:tc>
          <w:tcPr>
            <w:tcW w:type="dxa" w:w="2412"/>
          </w:tcPr>
          <w:p>
            <w:r>
              <w:rPr>
                <w:sz w:val="17"/>
              </w:rPr>
              <w:t>Data quality dashboardVisible to consumers, so a report's reliability is knowable without asking</w:t>
            </w:r>
          </w:p>
        </w:tc>
        <w:tc>
          <w:tcPr>
            <w:tcW w:type="dxa" w:w="2412"/>
          </w:tcPr>
          <w:p>
            <w:r>
              <w:rPr>
                <w:sz w:val="17"/>
              </w:rPr>
              <w:t>Should</w:t>
            </w:r>
          </w:p>
        </w:tc>
        <w:tc>
          <w:tcPr>
            <w:tcW w:type="dxa" w:w="2412"/>
          </w:tcPr>
          <w:p>
            <w:r>
              <w:rPr>
                <w:sz w:val="17"/>
              </w:rPr>
              <w:t>Test</w:t>
            </w:r>
          </w:p>
        </w:tc>
      </w:tr>
      <w:tr>
        <w:tc>
          <w:tcPr>
            <w:tcW w:type="dxa" w:w="2412"/>
          </w:tcPr>
          <w:p>
            <w:r>
              <w:rPr>
                <w:sz w:val="17"/>
              </w:rPr>
              <w:t>FR-23</w:t>
            </w:r>
          </w:p>
        </w:tc>
        <w:tc>
          <w:tcPr>
            <w:tcW w:type="dxa" w:w="2412"/>
          </w:tcPr>
          <w:p>
            <w:r>
              <w:rPr>
                <w:sz w:val="17"/>
              </w:rPr>
              <w:t>Documented RTO and RPO agreed with the business owner and recorded in the Quality Plan</w:t>
            </w:r>
          </w:p>
        </w:tc>
        <w:tc>
          <w:tcPr>
            <w:tcW w:type="dxa" w:w="2412"/>
          </w:tcPr>
          <w:p>
            <w:r>
              <w:rPr>
                <w:sz w:val="17"/>
              </w:rPr>
              <w:t>Must</w:t>
            </w:r>
          </w:p>
        </w:tc>
        <w:tc>
          <w:tcPr>
            <w:tcW w:type="dxa" w:w="2412"/>
          </w:tcPr>
          <w:p>
            <w:r>
              <w:rPr>
                <w:sz w:val="17"/>
              </w:rPr>
              <w:t>Inspection</w:t>
            </w:r>
          </w:p>
        </w:tc>
      </w:tr>
      <w:tr>
        <w:tc>
          <w:tcPr>
            <w:tcW w:type="dxa" w:w="2412"/>
          </w:tcPr>
          <w:p>
            <w:r>
              <w:rPr>
                <w:sz w:val="17"/>
              </w:rPr>
              <w:t>FR-24</w:t>
            </w:r>
          </w:p>
        </w:tc>
        <w:tc>
          <w:tcPr>
            <w:tcW w:type="dxa" w:w="2412"/>
          </w:tcPr>
          <w:p>
            <w:r>
              <w:rPr>
                <w:sz w:val="17"/>
              </w:rPr>
              <w:t>Geo-redundant backup configured to the Azure paired region</w:t>
            </w:r>
          </w:p>
        </w:tc>
        <w:tc>
          <w:tcPr>
            <w:tcW w:type="dxa" w:w="2412"/>
          </w:tcPr>
          <w:p>
            <w:r>
              <w:rPr>
                <w:sz w:val="17"/>
              </w:rPr>
              <w:t>Must</w:t>
            </w:r>
          </w:p>
        </w:tc>
        <w:tc>
          <w:tcPr>
            <w:tcW w:type="dxa" w:w="2412"/>
          </w:tcPr>
          <w:p>
            <w:r>
              <w:rPr>
                <w:sz w:val="17"/>
              </w:rPr>
              <w:t>Test</w:t>
            </w:r>
          </w:p>
        </w:tc>
      </w:tr>
      <w:tr>
        <w:tc>
          <w:tcPr>
            <w:tcW w:type="dxa" w:w="2412"/>
          </w:tcPr>
          <w:p>
            <w:r>
              <w:rPr>
                <w:sz w:val="17"/>
              </w:rPr>
              <w:t>FR-25</w:t>
            </w:r>
          </w:p>
        </w:tc>
        <w:tc>
          <w:tcPr>
            <w:tcW w:type="dxa" w:w="2412"/>
          </w:tcPr>
          <w:p>
            <w:r>
              <w:rPr>
                <w:sz w:val="17"/>
              </w:rPr>
              <w:t>Immutable or soft-delete protection against ransomware and accidental deletion</w:t>
            </w:r>
          </w:p>
        </w:tc>
        <w:tc>
          <w:tcPr>
            <w:tcW w:type="dxa" w:w="2412"/>
          </w:tcPr>
          <w:p>
            <w:r>
              <w:rPr>
                <w:sz w:val="17"/>
              </w:rPr>
              <w:t>Must</w:t>
            </w:r>
          </w:p>
        </w:tc>
        <w:tc>
          <w:tcPr>
            <w:tcW w:type="dxa" w:w="2412"/>
          </w:tcPr>
          <w:p>
            <w:r>
              <w:rPr>
                <w:sz w:val="17"/>
              </w:rPr>
              <w:t>Test</w:t>
            </w:r>
          </w:p>
        </w:tc>
      </w:tr>
      <w:tr>
        <w:tc>
          <w:tcPr>
            <w:tcW w:type="dxa" w:w="2412"/>
          </w:tcPr>
          <w:p>
            <w:r>
              <w:rPr>
                <w:sz w:val="17"/>
              </w:rPr>
              <w:t>FR-26</w:t>
            </w:r>
          </w:p>
        </w:tc>
        <w:tc>
          <w:tcPr>
            <w:tcW w:type="dxa" w:w="2412"/>
          </w:tcPr>
          <w:p>
            <w:r>
              <w:rPr>
                <w:sz w:val="17"/>
              </w:rPr>
              <w:t>⚠ Business associate agreement confirmed to cover the backup location and secondary region</w:t>
            </w:r>
          </w:p>
        </w:tc>
        <w:tc>
          <w:tcPr>
            <w:tcW w:type="dxa" w:w="2412"/>
          </w:tcPr>
          <w:p>
            <w:r>
              <w:rPr>
                <w:sz w:val="17"/>
              </w:rPr>
              <w:t>Must</w:t>
            </w:r>
          </w:p>
        </w:tc>
        <w:tc>
          <w:tcPr>
            <w:tcW w:type="dxa" w:w="2412"/>
          </w:tcPr>
          <w:p>
            <w:r>
              <w:rPr>
                <w:sz w:val="17"/>
              </w:rPr>
              <w:t>Test</w:t>
            </w:r>
          </w:p>
        </w:tc>
      </w:tr>
      <w:tr>
        <w:tc>
          <w:tcPr>
            <w:tcW w:type="dxa" w:w="2412"/>
          </w:tcPr>
          <w:p>
            <w:r>
              <w:rPr>
                <w:sz w:val="17"/>
              </w:rPr>
              <w:t>FR-27</w:t>
            </w:r>
          </w:p>
        </w:tc>
        <w:tc>
          <w:tcPr>
            <w:tcW w:type="dxa" w:w="2412"/>
          </w:tcPr>
          <w:p>
            <w:r>
              <w:rPr>
                <w:sz w:val="17"/>
              </w:rPr>
              <w:t>Full restore tested end to end, with evidence retained for audit</w:t>
            </w:r>
          </w:p>
        </w:tc>
        <w:tc>
          <w:tcPr>
            <w:tcW w:type="dxa" w:w="2412"/>
          </w:tcPr>
          <w:p>
            <w:r>
              <w:rPr>
                <w:sz w:val="17"/>
              </w:rPr>
              <w:t>Must</w:t>
            </w:r>
          </w:p>
        </w:tc>
        <w:tc>
          <w:tcPr>
            <w:tcW w:type="dxa" w:w="2412"/>
          </w:tcPr>
          <w:p>
            <w:r>
              <w:rPr>
                <w:sz w:val="17"/>
              </w:rPr>
              <w:t>Audit</w:t>
            </w:r>
          </w:p>
        </w:tc>
      </w:tr>
      <w:tr>
        <w:tc>
          <w:tcPr>
            <w:tcW w:type="dxa" w:w="2412"/>
          </w:tcPr>
          <w:p>
            <w:r>
              <w:rPr>
                <w:sz w:val="17"/>
              </w:rPr>
              <w:t>FR-28</w:t>
            </w:r>
          </w:p>
        </w:tc>
        <w:tc>
          <w:tcPr>
            <w:tcW w:type="dxa" w:w="2412"/>
          </w:tcPr>
          <w:p>
            <w:r>
              <w:rPr>
                <w:sz w:val="17"/>
              </w:rPr>
              <w:t>DR runbook with named roles and a named accountable owner</w:t>
            </w:r>
          </w:p>
        </w:tc>
        <w:tc>
          <w:tcPr>
            <w:tcW w:type="dxa" w:w="2412"/>
          </w:tcPr>
          <w:p>
            <w:r>
              <w:rPr>
                <w:sz w:val="17"/>
              </w:rPr>
              <w:t>Must</w:t>
            </w:r>
          </w:p>
        </w:tc>
        <w:tc>
          <w:tcPr>
            <w:tcW w:type="dxa" w:w="2412"/>
          </w:tcPr>
          <w:p>
            <w:r>
              <w:rPr>
                <w:sz w:val="17"/>
              </w:rPr>
              <w:t>Inspection</w:t>
            </w:r>
          </w:p>
        </w:tc>
      </w:tr>
      <w:tr>
        <w:tc>
          <w:tcPr>
            <w:tcW w:type="dxa" w:w="2412"/>
          </w:tcPr>
          <w:p>
            <w:r>
              <w:rPr>
                <w:sz w:val="17"/>
              </w:rPr>
              <w:t>FR-29</w:t>
            </w:r>
          </w:p>
        </w:tc>
        <w:tc>
          <w:tcPr>
            <w:tcW w:type="dxa" w:w="2412"/>
          </w:tcPr>
          <w:p>
            <w:r>
              <w:rPr>
                <w:sz w:val="17"/>
              </w:rPr>
              <w:t>Recovery obligations carried in the risk register with a residual rating</w:t>
            </w:r>
          </w:p>
        </w:tc>
        <w:tc>
          <w:tcPr>
            <w:tcW w:type="dxa" w:w="2412"/>
          </w:tcPr>
          <w:p>
            <w:r>
              <w:rPr>
                <w:sz w:val="17"/>
              </w:rPr>
              <w:t>Must</w:t>
            </w:r>
          </w:p>
        </w:tc>
        <w:tc>
          <w:tcPr>
            <w:tcW w:type="dxa" w:w="2412"/>
          </w:tcPr>
          <w:p>
            <w:r>
              <w:rPr>
                <w:sz w:val="17"/>
              </w:rPr>
              <w:t>Inspection</w:t>
            </w:r>
          </w:p>
        </w:tc>
      </w:tr>
      <w:tr>
        <w:tc>
          <w:tcPr>
            <w:tcW w:type="dxa" w:w="2412"/>
          </w:tcPr>
          <w:p>
            <w:r>
              <w:rPr>
                <w:sz w:val="17"/>
              </w:rPr>
              <w:t>FR-30</w:t>
            </w:r>
          </w:p>
        </w:tc>
        <w:tc>
          <w:tcPr>
            <w:tcW w:type="dxa" w:w="2412"/>
          </w:tcPr>
          <w:p>
            <w:r>
              <w:rPr>
                <w:sz w:val="17"/>
              </w:rPr>
              <w:t>Retention of seven years, above the HIPAA floor, driven by state insurance record rules. Restore re-tested annually.</w:t>
            </w:r>
          </w:p>
        </w:tc>
        <w:tc>
          <w:tcPr>
            <w:tcW w:type="dxa" w:w="2412"/>
          </w:tcPr>
          <w:p>
            <w:r>
              <w:rPr>
                <w:sz w:val="17"/>
              </w:rPr>
              <w:t>Must</w:t>
            </w:r>
          </w:p>
        </w:tc>
        <w:tc>
          <w:tcPr>
            <w:tcW w:type="dxa" w:w="2412"/>
          </w:tcPr>
          <w:p>
            <w:r>
              <w:rPr>
                <w:sz w:val="17"/>
              </w:rPr>
              <w:t>Test</w:t>
            </w:r>
          </w:p>
        </w:tc>
      </w:tr>
      <w:tr>
        <w:tc>
          <w:tcPr>
            <w:tcW w:type="dxa" w:w="2412"/>
          </w:tcPr>
          <w:p>
            <w:r>
              <w:rPr>
                <w:sz w:val="17"/>
              </w:rPr>
              <w:t>NFR-01</w:t>
            </w:r>
          </w:p>
        </w:tc>
        <w:tc>
          <w:tcPr>
            <w:tcW w:type="dxa" w:w="2412"/>
          </w:tcPr>
          <w:p>
            <w:r>
              <w:rPr>
                <w:sz w:val="17"/>
              </w:rPr>
              <w:t>Load windowDaily load completes and reconciles before the reporting day begins</w:t>
            </w:r>
          </w:p>
        </w:tc>
        <w:tc>
          <w:tcPr>
            <w:tcW w:type="dxa" w:w="2412"/>
          </w:tcPr>
          <w:p>
            <w:r>
              <w:rPr>
                <w:sz w:val="17"/>
              </w:rPr>
              <w:t>Must</w:t>
            </w:r>
          </w:p>
        </w:tc>
        <w:tc>
          <w:tcPr>
            <w:tcW w:type="dxa" w:w="2412"/>
          </w:tcPr>
          <w:p>
            <w:r>
              <w:rPr>
                <w:sz w:val="17"/>
              </w:rPr>
              <w:t>Demonstration</w:t>
            </w:r>
          </w:p>
        </w:tc>
      </w:tr>
      <w:tr>
        <w:tc>
          <w:tcPr>
            <w:tcW w:type="dxa" w:w="2412"/>
          </w:tcPr>
          <w:p>
            <w:r>
              <w:rPr>
                <w:sz w:val="17"/>
              </w:rPr>
              <w:t>NFR-02</w:t>
            </w:r>
          </w:p>
        </w:tc>
        <w:tc>
          <w:tcPr>
            <w:tcW w:type="dxa" w:w="2412"/>
          </w:tcPr>
          <w:p>
            <w:r>
              <w:rPr>
                <w:sz w:val="17"/>
              </w:rPr>
              <w:t>Query performanceStandard measure calculations complete within the reporting cycle</w:t>
            </w:r>
          </w:p>
        </w:tc>
        <w:tc>
          <w:tcPr>
            <w:tcW w:type="dxa" w:w="2412"/>
          </w:tcPr>
          <w:p>
            <w:r>
              <w:rPr>
                <w:sz w:val="17"/>
              </w:rPr>
              <w:t>Must</w:t>
            </w:r>
          </w:p>
        </w:tc>
        <w:tc>
          <w:tcPr>
            <w:tcW w:type="dxa" w:w="2412"/>
          </w:tcPr>
          <w:p>
            <w:r>
              <w:rPr>
                <w:sz w:val="17"/>
              </w:rPr>
              <w:t>Analysis</w:t>
            </w:r>
          </w:p>
        </w:tc>
      </w:tr>
      <w:tr>
        <w:tc>
          <w:tcPr>
            <w:tcW w:type="dxa" w:w="2412"/>
          </w:tcPr>
          <w:p>
            <w:r>
              <w:rPr>
                <w:sz w:val="17"/>
              </w:rPr>
              <w:t>NFR-03</w:t>
            </w:r>
          </w:p>
        </w:tc>
        <w:tc>
          <w:tcPr>
            <w:tcW w:type="dxa" w:w="2412"/>
          </w:tcPr>
          <w:p>
            <w:r>
              <w:rPr>
                <w:sz w:val="17"/>
              </w:rPr>
              <w:t>AvailabilityTier 2 — ⚠ 72 hour RTO. Deliberately not Tier 0; see the opening callout.</w:t>
            </w:r>
          </w:p>
        </w:tc>
        <w:tc>
          <w:tcPr>
            <w:tcW w:type="dxa" w:w="2412"/>
          </w:tcPr>
          <w:p>
            <w:r>
              <w:rPr>
                <w:sz w:val="17"/>
              </w:rPr>
              <w:t>Must</w:t>
            </w:r>
          </w:p>
        </w:tc>
        <w:tc>
          <w:tcPr>
            <w:tcW w:type="dxa" w:w="2412"/>
          </w:tcPr>
          <w:p>
            <w:r>
              <w:rPr>
                <w:sz w:val="17"/>
              </w:rPr>
              <w:t>Demonstration</w:t>
            </w:r>
          </w:p>
        </w:tc>
      </w:tr>
      <w:tr>
        <w:tc>
          <w:tcPr>
            <w:tcW w:type="dxa" w:w="2412"/>
          </w:tcPr>
          <w:p>
            <w:r>
              <w:rPr>
                <w:sz w:val="17"/>
              </w:rPr>
              <w:t>NFR-04</w:t>
            </w:r>
          </w:p>
        </w:tc>
        <w:tc>
          <w:tcPr>
            <w:tcW w:type="dxa" w:w="2412"/>
          </w:tcPr>
          <w:p>
            <w:r>
              <w:rPr>
                <w:sz w:val="17"/>
              </w:rPr>
              <w:t>Durability⚠ 24 hour RPO with geo-redundancy. This, not availability, is the binding requirement.</w:t>
            </w:r>
          </w:p>
        </w:tc>
        <w:tc>
          <w:tcPr>
            <w:tcW w:type="dxa" w:w="2412"/>
          </w:tcPr>
          <w:p>
            <w:r>
              <w:rPr>
                <w:sz w:val="17"/>
              </w:rPr>
              <w:t>Must</w:t>
            </w:r>
          </w:p>
        </w:tc>
        <w:tc>
          <w:tcPr>
            <w:tcW w:type="dxa" w:w="2412"/>
          </w:tcPr>
          <w:p>
            <w:r>
              <w:rPr>
                <w:sz w:val="17"/>
              </w:rPr>
              <w:t>Test</w:t>
            </w:r>
          </w:p>
        </w:tc>
      </w:tr>
      <w:tr>
        <w:tc>
          <w:tcPr>
            <w:tcW w:type="dxa" w:w="2412"/>
          </w:tcPr>
          <w:p>
            <w:r>
              <w:rPr>
                <w:sz w:val="17"/>
              </w:rPr>
              <w:t>NFR-05</w:t>
            </w:r>
          </w:p>
        </w:tc>
        <w:tc>
          <w:tcPr>
            <w:tcW w:type="dxa" w:w="2412"/>
          </w:tcPr>
          <w:p>
            <w:r>
              <w:rPr>
                <w:sz w:val="17"/>
              </w:rPr>
              <w:t>Data residencyUnited States only, enforced by platform policy</w:t>
            </w:r>
          </w:p>
        </w:tc>
        <w:tc>
          <w:tcPr>
            <w:tcW w:type="dxa" w:w="2412"/>
          </w:tcPr>
          <w:p>
            <w:r>
              <w:rPr>
                <w:sz w:val="17"/>
              </w:rPr>
              <w:t>Must</w:t>
            </w:r>
          </w:p>
        </w:tc>
        <w:tc>
          <w:tcPr>
            <w:tcW w:type="dxa" w:w="2412"/>
          </w:tcPr>
          <w:p>
            <w:r>
              <w:rPr>
                <w:sz w:val="17"/>
              </w:rPr>
              <w:t>Test</w:t>
            </w:r>
          </w:p>
        </w:tc>
      </w:tr>
      <w:tr>
        <w:tc>
          <w:tcPr>
            <w:tcW w:type="dxa" w:w="2412"/>
          </w:tcPr>
          <w:p>
            <w:r>
              <w:rPr>
                <w:sz w:val="17"/>
              </w:rPr>
              <w:t>NFR-06</w:t>
            </w:r>
          </w:p>
        </w:tc>
        <w:tc>
          <w:tcPr>
            <w:tcW w:type="dxa" w:w="2412"/>
          </w:tcPr>
          <w:p>
            <w:r>
              <w:rPr>
                <w:sz w:val="17"/>
              </w:rPr>
              <w:t>Access controlRole-based; ⚠ identified member data restricted to roles with a documented need</w:t>
            </w:r>
          </w:p>
        </w:tc>
        <w:tc>
          <w:tcPr>
            <w:tcW w:type="dxa" w:w="2412"/>
          </w:tcPr>
          <w:p>
            <w:r>
              <w:rPr>
                <w:sz w:val="17"/>
              </w:rPr>
              <w:t>Must</w:t>
            </w:r>
          </w:p>
        </w:tc>
        <w:tc>
          <w:tcPr>
            <w:tcW w:type="dxa" w:w="2412"/>
          </w:tcPr>
          <w:p>
            <w:r>
              <w:rPr>
                <w:sz w:val="17"/>
              </w:rPr>
              <w:t>Inspection</w:t>
            </w:r>
          </w:p>
        </w:tc>
      </w:tr>
      <w:tr>
        <w:tc>
          <w:tcPr>
            <w:tcW w:type="dxa" w:w="2412"/>
          </w:tcPr>
          <w:p>
            <w:r>
              <w:rPr>
                <w:sz w:val="17"/>
              </w:rPr>
              <w:t>NFR-07</w:t>
            </w:r>
          </w:p>
        </w:tc>
        <w:tc>
          <w:tcPr>
            <w:tcW w:type="dxa" w:w="2412"/>
          </w:tcPr>
          <w:p>
            <w:r>
              <w:rPr>
                <w:sz w:val="17"/>
              </w:rPr>
              <w:t>Audit loggingWrite-once. Query access to identified data logged and reviewed.</w:t>
            </w:r>
          </w:p>
        </w:tc>
        <w:tc>
          <w:tcPr>
            <w:tcW w:type="dxa" w:w="2412"/>
          </w:tcPr>
          <w:p>
            <w:r>
              <w:rPr>
                <w:sz w:val="17"/>
              </w:rPr>
              <w:t>Must</w:t>
            </w:r>
          </w:p>
        </w:tc>
        <w:tc>
          <w:tcPr>
            <w:tcW w:type="dxa" w:w="2412"/>
          </w:tcPr>
          <w:p>
            <w:r>
              <w:rPr>
                <w:sz w:val="17"/>
              </w:rPr>
              <w:t>Audit</w:t>
            </w:r>
          </w:p>
        </w:tc>
      </w:tr>
    </w:tbl>
    <w:p/>
    <w:p>
      <w:pPr>
        <w:spacing w:before="320"/>
      </w:pPr>
      <w:r>
        <w:rPr>
          <w:b/>
          <w:color w:val="12304A"/>
          <w:sz w:val="28"/>
        </w:rPr>
        <w:t>08 — BRD-05 Preserved &amp; Best-of-Both Capabilities (30 requirements · owner Dr. M. Ellsworth)</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Req ID</w:t>
            </w:r>
          </w:p>
        </w:tc>
        <w:tc>
          <w:tcPr>
            <w:tcW w:type="dxa" w:w="2412"/>
          </w:tcPr>
          <w:p>
            <w:r>
              <w:rPr>
                <w:b/>
                <w:sz w:val="17"/>
              </w:rPr>
              <w:t>Requirement (from BRD-05)</w:t>
            </w:r>
          </w:p>
        </w:tc>
        <w:tc>
          <w:tcPr>
            <w:tcW w:type="dxa" w:w="2412"/>
          </w:tcPr>
          <w:p>
            <w:r>
              <w:rPr>
                <w:b/>
                <w:sz w:val="17"/>
              </w:rPr>
              <w:t>Priority</w:t>
            </w:r>
          </w:p>
        </w:tc>
        <w:tc>
          <w:tcPr>
            <w:tcW w:type="dxa" w:w="2412"/>
          </w:tcPr>
          <w:p>
            <w:r>
              <w:rPr>
                <w:b/>
                <w:sz w:val="17"/>
              </w:rPr>
              <w:t>Verification method</w:t>
            </w:r>
          </w:p>
        </w:tc>
      </w:tr>
      <w:tr>
        <w:tc>
          <w:tcPr>
            <w:tcW w:type="dxa" w:w="2412"/>
          </w:tcPr>
          <w:p>
            <w:r>
              <w:rPr>
                <w:sz w:val="17"/>
              </w:rPr>
              <w:t>FR-01</w:t>
            </w:r>
          </w:p>
        </w:tc>
        <w:tc>
          <w:tcPr>
            <w:tcW w:type="dxa" w:w="2412"/>
          </w:tcPr>
          <w:p>
            <w:r>
              <w:rPr>
                <w:sz w:val="17"/>
              </w:rPr>
              <w:t>Performance baselined and reported⚠ Readmission and chronic-condition engagement rates baselined pre-close and reported quarterly. Preservation</w:t>
            </w:r>
          </w:p>
        </w:tc>
        <w:tc>
          <w:tcPr>
            <w:tcW w:type="dxa" w:w="2412"/>
          </w:tcPr>
          <w:p>
            <w:r>
              <w:rPr>
                <w:sz w:val="17"/>
              </w:rPr>
              <w:t>Must</w:t>
            </w:r>
          </w:p>
        </w:tc>
        <w:tc>
          <w:tcPr>
            <w:tcW w:type="dxa" w:w="2412"/>
          </w:tcPr>
          <w:p>
            <w:r>
              <w:rPr>
                <w:sz w:val="17"/>
              </w:rPr>
              <w:t>Analysis</w:t>
            </w:r>
          </w:p>
        </w:tc>
      </w:tr>
      <w:tr>
        <w:tc>
          <w:tcPr>
            <w:tcW w:type="dxa" w:w="2412"/>
          </w:tcPr>
          <w:p>
            <w:r>
              <w:rPr>
                <w:sz w:val="17"/>
              </w:rPr>
              <w:t>FR-02</w:t>
            </w:r>
          </w:p>
        </w:tc>
        <w:tc>
          <w:tcPr>
            <w:tcW w:type="dxa" w:w="2412"/>
          </w:tcPr>
          <w:p>
            <w:r>
              <w:rPr>
                <w:sz w:val="17"/>
              </w:rPr>
              <w:t>No member migrated mid-episode⚠ An open care management episode completes on the platform that opened it</w:t>
            </w:r>
          </w:p>
        </w:tc>
        <w:tc>
          <w:tcPr>
            <w:tcW w:type="dxa" w:w="2412"/>
          </w:tcPr>
          <w:p>
            <w:r>
              <w:rPr>
                <w:sz w:val="17"/>
              </w:rPr>
              <w:t>Must</w:t>
            </w:r>
          </w:p>
        </w:tc>
        <w:tc>
          <w:tcPr>
            <w:tcW w:type="dxa" w:w="2412"/>
          </w:tcPr>
          <w:p>
            <w:r>
              <w:rPr>
                <w:sz w:val="17"/>
              </w:rPr>
              <w:t>Test</w:t>
            </w:r>
          </w:p>
        </w:tc>
      </w:tr>
      <w:tr>
        <w:tc>
          <w:tcPr>
            <w:tcW w:type="dxa" w:w="2412"/>
          </w:tcPr>
          <w:p>
            <w:r>
              <w:rPr>
                <w:sz w:val="17"/>
              </w:rPr>
              <w:t>FR-03</w:t>
            </w:r>
          </w:p>
        </w:tc>
        <w:tc>
          <w:tcPr>
            <w:tcW w:type="dxa" w:w="2412"/>
          </w:tcPr>
          <w:p>
            <w:r>
              <w:rPr>
                <w:sz w:val="17"/>
              </w:rPr>
              <w:t>ACME members onboarded, not target members movedThe platform is preserved and extended. ACME's population migrates to it.</w:t>
            </w:r>
          </w:p>
        </w:tc>
        <w:tc>
          <w:tcPr>
            <w:tcW w:type="dxa" w:w="2412"/>
          </w:tcPr>
          <w:p>
            <w:r>
              <w:rPr>
                <w:sz w:val="17"/>
              </w:rPr>
              <w:t>Must</w:t>
            </w:r>
          </w:p>
        </w:tc>
        <w:tc>
          <w:tcPr>
            <w:tcW w:type="dxa" w:w="2412"/>
          </w:tcPr>
          <w:p>
            <w:r>
              <w:rPr>
                <w:sz w:val="17"/>
              </w:rPr>
              <w:t>Test</w:t>
            </w:r>
          </w:p>
        </w:tc>
      </w:tr>
      <w:tr>
        <w:tc>
          <w:tcPr>
            <w:tcW w:type="dxa" w:w="2412"/>
          </w:tcPr>
          <w:p>
            <w:r>
              <w:rPr>
                <w:sz w:val="17"/>
              </w:rPr>
              <w:t>FR-04</w:t>
            </w:r>
          </w:p>
        </w:tc>
        <w:tc>
          <w:tcPr>
            <w:tcW w:type="dxa" w:w="2412"/>
          </w:tcPr>
          <w:p>
            <w:r>
              <w:rPr>
                <w:sz w:val="17"/>
              </w:rPr>
              <w:t>Care manager team retained⚠ The platform without the people is not the capability. Retention coverage for the clinical leads is a requir</w:t>
            </w:r>
          </w:p>
        </w:tc>
        <w:tc>
          <w:tcPr>
            <w:tcW w:type="dxa" w:w="2412"/>
          </w:tcPr>
          <w:p>
            <w:r>
              <w:rPr>
                <w:sz w:val="17"/>
              </w:rPr>
              <w:t>Must</w:t>
            </w:r>
          </w:p>
        </w:tc>
        <w:tc>
          <w:tcPr>
            <w:tcW w:type="dxa" w:w="2412"/>
          </w:tcPr>
          <w:p>
            <w:r>
              <w:rPr>
                <w:sz w:val="17"/>
              </w:rPr>
              <w:t>Inspection</w:t>
            </w:r>
          </w:p>
        </w:tc>
      </w:tr>
      <w:tr>
        <w:tc>
          <w:tcPr>
            <w:tcW w:type="dxa" w:w="2412"/>
          </w:tcPr>
          <w:p>
            <w:r>
              <w:rPr>
                <w:sz w:val="17"/>
              </w:rPr>
              <w:t>FR-05</w:t>
            </w:r>
          </w:p>
        </w:tc>
        <w:tc>
          <w:tcPr>
            <w:tcW w:type="dxa" w:w="2412"/>
          </w:tcPr>
          <w:p>
            <w:r>
              <w:rPr>
                <w:sz w:val="17"/>
              </w:rPr>
              <w:t>Named owner and budget line post-program⚠ A preserved system with no owner and no budget degrades by default. Both named before program close.</w:t>
            </w:r>
          </w:p>
        </w:tc>
        <w:tc>
          <w:tcPr>
            <w:tcW w:type="dxa" w:w="2412"/>
          </w:tcPr>
          <w:p>
            <w:r>
              <w:rPr>
                <w:sz w:val="17"/>
              </w:rPr>
              <w:t>Must</w:t>
            </w:r>
          </w:p>
        </w:tc>
        <w:tc>
          <w:tcPr>
            <w:tcW w:type="dxa" w:w="2412"/>
          </w:tcPr>
          <w:p>
            <w:r>
              <w:rPr>
                <w:sz w:val="17"/>
              </w:rPr>
              <w:t>Inspection</w:t>
            </w:r>
          </w:p>
        </w:tc>
      </w:tr>
      <w:tr>
        <w:tc>
          <w:tcPr>
            <w:tcW w:type="dxa" w:w="2412"/>
          </w:tcPr>
          <w:p>
            <w:r>
              <w:rPr>
                <w:sz w:val="17"/>
              </w:rPr>
              <w:t>FR-06</w:t>
            </w:r>
          </w:p>
        </w:tc>
        <w:tc>
          <w:tcPr>
            <w:tcW w:type="dxa" w:w="2412"/>
          </w:tcPr>
          <w:p>
            <w:r>
              <w:rPr>
                <w:sz w:val="17"/>
              </w:rPr>
              <w:t>Vendor support and version currency maintained⚠ A preserved platform must not fall out of supported versions while attention is elsewhere</w:t>
            </w:r>
          </w:p>
        </w:tc>
        <w:tc>
          <w:tcPr>
            <w:tcW w:type="dxa" w:w="2412"/>
          </w:tcPr>
          <w:p>
            <w:r>
              <w:rPr>
                <w:sz w:val="17"/>
              </w:rPr>
              <w:t>Must</w:t>
            </w:r>
          </w:p>
        </w:tc>
        <w:tc>
          <w:tcPr>
            <w:tcW w:type="dxa" w:w="2412"/>
          </w:tcPr>
          <w:p>
            <w:r>
              <w:rPr>
                <w:sz w:val="17"/>
              </w:rPr>
              <w:t>Inspection</w:t>
            </w:r>
          </w:p>
        </w:tc>
      </w:tr>
      <w:tr>
        <w:tc>
          <w:tcPr>
            <w:tcW w:type="dxa" w:w="2412"/>
          </w:tcPr>
          <w:p>
            <w:r>
              <w:rPr>
                <w:sz w:val="17"/>
              </w:rPr>
              <w:t>FR-07</w:t>
            </w:r>
          </w:p>
        </w:tc>
        <w:tc>
          <w:tcPr>
            <w:tcW w:type="dxa" w:w="2412"/>
          </w:tcPr>
          <w:p>
            <w:r>
              <w:rPr>
                <w:sz w:val="17"/>
              </w:rPr>
              <w:t>Member feed from the surviving core platformIF-09. Enrollment, coverage and claims context for the combined population</w:t>
            </w:r>
          </w:p>
        </w:tc>
        <w:tc>
          <w:tcPr>
            <w:tcW w:type="dxa" w:w="2412"/>
          </w:tcPr>
          <w:p>
            <w:r>
              <w:rPr>
                <w:sz w:val="17"/>
              </w:rPr>
              <w:t>Must</w:t>
            </w:r>
          </w:p>
        </w:tc>
        <w:tc>
          <w:tcPr>
            <w:tcW w:type="dxa" w:w="2412"/>
          </w:tcPr>
          <w:p>
            <w:r>
              <w:rPr>
                <w:sz w:val="17"/>
              </w:rPr>
              <w:t>Test</w:t>
            </w:r>
          </w:p>
        </w:tc>
      </w:tr>
      <w:tr>
        <w:tc>
          <w:tcPr>
            <w:tcW w:type="dxa" w:w="2412"/>
          </w:tcPr>
          <w:p>
            <w:r>
              <w:rPr>
                <w:sz w:val="17"/>
              </w:rPr>
              <w:t>FR-08</w:t>
            </w:r>
          </w:p>
        </w:tc>
        <w:tc>
          <w:tcPr>
            <w:tcW w:type="dxa" w:w="2412"/>
          </w:tcPr>
          <w:p>
            <w:r>
              <w:rPr>
                <w:sz w:val="17"/>
              </w:rPr>
              <w:t>Clinical protocols documentedWhat makes the program work is written down rather than held by the team that runs it</w:t>
            </w:r>
          </w:p>
        </w:tc>
        <w:tc>
          <w:tcPr>
            <w:tcW w:type="dxa" w:w="2412"/>
          </w:tcPr>
          <w:p>
            <w:r>
              <w:rPr>
                <w:sz w:val="17"/>
              </w:rPr>
              <w:t>Should</w:t>
            </w:r>
          </w:p>
        </w:tc>
        <w:tc>
          <w:tcPr>
            <w:tcW w:type="dxa" w:w="2412"/>
          </w:tcPr>
          <w:p>
            <w:r>
              <w:rPr>
                <w:sz w:val="17"/>
              </w:rPr>
              <w:t>Inspection</w:t>
            </w:r>
          </w:p>
        </w:tc>
      </w:tr>
      <w:tr>
        <w:tc>
          <w:tcPr>
            <w:tcW w:type="dxa" w:w="2412"/>
          </w:tcPr>
          <w:p>
            <w:r>
              <w:rPr>
                <w:sz w:val="17"/>
              </w:rPr>
              <w:t>FR-09</w:t>
            </w:r>
          </w:p>
        </w:tc>
        <w:tc>
          <w:tcPr>
            <w:tcW w:type="dxa" w:w="2412"/>
          </w:tcPr>
          <w:p>
            <w:r>
              <w:rPr>
                <w:sz w:val="17"/>
              </w:rPr>
              <w:t>Target's clinical criteria configuration retainedCriteria sets, review pathways and escalation rules</w:t>
            </w:r>
          </w:p>
        </w:tc>
        <w:tc>
          <w:tcPr>
            <w:tcW w:type="dxa" w:w="2412"/>
          </w:tcPr>
          <w:p>
            <w:r>
              <w:rPr>
                <w:sz w:val="17"/>
              </w:rPr>
              <w:t>Must</w:t>
            </w:r>
          </w:p>
        </w:tc>
        <w:tc>
          <w:tcPr>
            <w:tcW w:type="dxa" w:w="2412"/>
          </w:tcPr>
          <w:p>
            <w:r>
              <w:rPr>
                <w:sz w:val="17"/>
              </w:rPr>
              <w:t>Inspection</w:t>
            </w:r>
          </w:p>
        </w:tc>
      </w:tr>
      <w:tr>
        <w:tc>
          <w:tcPr>
            <w:tcW w:type="dxa" w:w="2412"/>
          </w:tcPr>
          <w:p>
            <w:r>
              <w:rPr>
                <w:sz w:val="17"/>
              </w:rPr>
              <w:t>FR-10</w:t>
            </w:r>
          </w:p>
        </w:tc>
        <w:tc>
          <w:tcPr>
            <w:tcW w:type="dxa" w:w="2412"/>
          </w:tcPr>
          <w:p>
            <w:r>
              <w:rPr>
                <w:sz w:val="17"/>
              </w:rPr>
              <w:t>ACME's authorization workflow retainedIntake, routing, turnaround management and provider portal integration</w:t>
            </w:r>
          </w:p>
        </w:tc>
        <w:tc>
          <w:tcPr>
            <w:tcW w:type="dxa" w:w="2412"/>
          </w:tcPr>
          <w:p>
            <w:r>
              <w:rPr>
                <w:sz w:val="17"/>
              </w:rPr>
              <w:t>Must</w:t>
            </w:r>
          </w:p>
        </w:tc>
        <w:tc>
          <w:tcPr>
            <w:tcW w:type="dxa" w:w="2412"/>
          </w:tcPr>
          <w:p>
            <w:r>
              <w:rPr>
                <w:sz w:val="17"/>
              </w:rPr>
              <w:t>Inspection</w:t>
            </w:r>
          </w:p>
        </w:tc>
      </w:tr>
      <w:tr>
        <w:tc>
          <w:tcPr>
            <w:tcW w:type="dxa" w:w="2412"/>
          </w:tcPr>
          <w:p>
            <w:r>
              <w:rPr>
                <w:sz w:val="17"/>
              </w:rPr>
              <w:t>FR-11</w:t>
            </w:r>
          </w:p>
        </w:tc>
        <w:tc>
          <w:tcPr>
            <w:tcW w:type="dxa" w:w="2412"/>
          </w:tcPr>
          <w:p>
            <w:r>
              <w:rPr>
                <w:sz w:val="17"/>
              </w:rPr>
              <w:t>The seam is specified, not discovered⚠ Exactly where criteria hand off to workflow, defined and documented. Best-of-both fails at the join, not at</w:t>
            </w:r>
          </w:p>
        </w:tc>
        <w:tc>
          <w:tcPr>
            <w:tcW w:type="dxa" w:w="2412"/>
          </w:tcPr>
          <w:p>
            <w:r>
              <w:rPr>
                <w:sz w:val="17"/>
              </w:rPr>
              <w:t>Must</w:t>
            </w:r>
          </w:p>
        </w:tc>
        <w:tc>
          <w:tcPr>
            <w:tcW w:type="dxa" w:w="2412"/>
          </w:tcPr>
          <w:p>
            <w:r>
              <w:rPr>
                <w:sz w:val="17"/>
              </w:rPr>
              <w:t>Inspection</w:t>
            </w:r>
          </w:p>
        </w:tc>
      </w:tr>
      <w:tr>
        <w:tc>
          <w:tcPr>
            <w:tcW w:type="dxa" w:w="2412"/>
          </w:tcPr>
          <w:p>
            <w:r>
              <w:rPr>
                <w:sz w:val="17"/>
              </w:rPr>
              <w:t>FR-12</w:t>
            </w:r>
          </w:p>
        </w:tc>
        <w:tc>
          <w:tcPr>
            <w:tcW w:type="dxa" w:w="2412"/>
          </w:tcPr>
          <w:p>
            <w:r>
              <w:rPr>
                <w:sz w:val="17"/>
              </w:rPr>
              <w:t>Turnaround times preservedRegulatory decision timeframes met throughout. ⚠ A slower authorization is a member access problem.</w:t>
            </w:r>
          </w:p>
        </w:tc>
        <w:tc>
          <w:tcPr>
            <w:tcW w:type="dxa" w:w="2412"/>
          </w:tcPr>
          <w:p>
            <w:r>
              <w:rPr>
                <w:sz w:val="17"/>
              </w:rPr>
              <w:t>Must</w:t>
            </w:r>
          </w:p>
        </w:tc>
        <w:tc>
          <w:tcPr>
            <w:tcW w:type="dxa" w:w="2412"/>
          </w:tcPr>
          <w:p>
            <w:r>
              <w:rPr>
                <w:sz w:val="17"/>
              </w:rPr>
              <w:t>Test</w:t>
            </w:r>
          </w:p>
        </w:tc>
      </w:tr>
      <w:tr>
        <w:tc>
          <w:tcPr>
            <w:tcW w:type="dxa" w:w="2412"/>
          </w:tcPr>
          <w:p>
            <w:r>
              <w:rPr>
                <w:sz w:val="17"/>
              </w:rPr>
              <w:t>FR-13</w:t>
            </w:r>
          </w:p>
        </w:tc>
        <w:tc>
          <w:tcPr>
            <w:tcW w:type="dxa" w:w="2412"/>
          </w:tcPr>
          <w:p>
            <w:r>
              <w:rPr>
                <w:sz w:val="17"/>
              </w:rPr>
              <w:t>Authorization status available to both platformsIF-08. A claim adjudicating on either side can see the authorization</w:t>
            </w:r>
          </w:p>
        </w:tc>
        <w:tc>
          <w:tcPr>
            <w:tcW w:type="dxa" w:w="2412"/>
          </w:tcPr>
          <w:p>
            <w:r>
              <w:rPr>
                <w:sz w:val="17"/>
              </w:rPr>
              <w:t>Must</w:t>
            </w:r>
          </w:p>
        </w:tc>
        <w:tc>
          <w:tcPr>
            <w:tcW w:type="dxa" w:w="2412"/>
          </w:tcPr>
          <w:p>
            <w:r>
              <w:rPr>
                <w:sz w:val="17"/>
              </w:rPr>
              <w:t>Test</w:t>
            </w:r>
          </w:p>
        </w:tc>
      </w:tr>
      <w:tr>
        <w:tc>
          <w:tcPr>
            <w:tcW w:type="dxa" w:w="2412"/>
          </w:tcPr>
          <w:p>
            <w:r>
              <w:rPr>
                <w:sz w:val="17"/>
              </w:rPr>
              <w:t>FR-14</w:t>
            </w:r>
          </w:p>
        </w:tc>
        <w:tc>
          <w:tcPr>
            <w:tcW w:type="dxa" w:w="2412"/>
          </w:tcPr>
          <w:p>
            <w:r>
              <w:rPr>
                <w:sz w:val="17"/>
              </w:rPr>
              <w:t>Single provider-facing experience⚠ A provider should not need to know which entity a member came from</w:t>
            </w:r>
          </w:p>
        </w:tc>
        <w:tc>
          <w:tcPr>
            <w:tcW w:type="dxa" w:w="2412"/>
          </w:tcPr>
          <w:p>
            <w:r>
              <w:rPr>
                <w:sz w:val="17"/>
              </w:rPr>
              <w:t>Should</w:t>
            </w:r>
          </w:p>
        </w:tc>
        <w:tc>
          <w:tcPr>
            <w:tcW w:type="dxa" w:w="2412"/>
          </w:tcPr>
          <w:p>
            <w:r>
              <w:rPr>
                <w:sz w:val="17"/>
              </w:rPr>
              <w:t>Test</w:t>
            </w:r>
          </w:p>
        </w:tc>
      </w:tr>
      <w:tr>
        <w:tc>
          <w:tcPr>
            <w:tcW w:type="dxa" w:w="2412"/>
          </w:tcPr>
          <w:p>
            <w:r>
              <w:rPr>
                <w:sz w:val="17"/>
              </w:rPr>
              <w:t>FR-15</w:t>
            </w:r>
          </w:p>
        </w:tc>
        <w:tc>
          <w:tcPr>
            <w:tcW w:type="dxa" w:w="2412"/>
          </w:tcPr>
          <w:p>
            <w:r>
              <w:rPr>
                <w:sz w:val="17"/>
              </w:rPr>
              <w:t>Both service platforms operate to Day 100No member-visible change to how they contact their plan in the first hundred days</w:t>
            </w:r>
          </w:p>
        </w:tc>
        <w:tc>
          <w:tcPr>
            <w:tcW w:type="dxa" w:w="2412"/>
          </w:tcPr>
          <w:p>
            <w:r>
              <w:rPr>
                <w:sz w:val="17"/>
              </w:rPr>
              <w:t>Must</w:t>
            </w:r>
          </w:p>
        </w:tc>
        <w:tc>
          <w:tcPr>
            <w:tcW w:type="dxa" w:w="2412"/>
          </w:tcPr>
          <w:p>
            <w:r>
              <w:rPr>
                <w:sz w:val="17"/>
              </w:rPr>
              <w:t>Test</w:t>
            </w:r>
          </w:p>
        </w:tc>
      </w:tr>
      <w:tr>
        <w:tc>
          <w:tcPr>
            <w:tcW w:type="dxa" w:w="2412"/>
          </w:tcPr>
          <w:p>
            <w:r>
              <w:rPr>
                <w:sz w:val="17"/>
              </w:rPr>
              <w:t>FR-16</w:t>
            </w:r>
          </w:p>
        </w:tc>
        <w:tc>
          <w:tcPr>
            <w:tcW w:type="dxa" w:w="2412"/>
          </w:tcPr>
          <w:p>
            <w:r>
              <w:rPr>
                <w:sz w:val="17"/>
              </w:rPr>
              <w:t>Agents can serve either population⚠ Read access across both, so a member reaching the wrong number is helped rather than transferred</w:t>
            </w:r>
          </w:p>
        </w:tc>
        <w:tc>
          <w:tcPr>
            <w:tcW w:type="dxa" w:w="2412"/>
          </w:tcPr>
          <w:p>
            <w:r>
              <w:rPr>
                <w:sz w:val="17"/>
              </w:rPr>
              <w:t>Must</w:t>
            </w:r>
          </w:p>
        </w:tc>
        <w:tc>
          <w:tcPr>
            <w:tcW w:type="dxa" w:w="2412"/>
          </w:tcPr>
          <w:p>
            <w:r>
              <w:rPr>
                <w:sz w:val="17"/>
              </w:rPr>
              <w:t>Test</w:t>
            </w:r>
          </w:p>
        </w:tc>
      </w:tr>
      <w:tr>
        <w:tc>
          <w:tcPr>
            <w:tcW w:type="dxa" w:w="2412"/>
          </w:tcPr>
          <w:p>
            <w:r>
              <w:rPr>
                <w:sz w:val="17"/>
              </w:rPr>
              <w:t>FR-17</w:t>
            </w:r>
          </w:p>
        </w:tc>
        <w:tc>
          <w:tcPr>
            <w:tcW w:type="dxa" w:w="2412"/>
          </w:tcPr>
          <w:p>
            <w:r>
              <w:rPr>
                <w:sz w:val="17"/>
              </w:rPr>
              <w:t>The Day 100 decision has evidence and a decider⚠ Absorb or extend, decided on the date by a named owner against stated criteria. Deferral is a decision and i</w:t>
            </w:r>
          </w:p>
        </w:tc>
        <w:tc>
          <w:tcPr>
            <w:tcW w:type="dxa" w:w="2412"/>
          </w:tcPr>
          <w:p>
            <w:r>
              <w:rPr>
                <w:sz w:val="17"/>
              </w:rPr>
              <w:t>Must</w:t>
            </w:r>
          </w:p>
        </w:tc>
        <w:tc>
          <w:tcPr>
            <w:tcW w:type="dxa" w:w="2412"/>
          </w:tcPr>
          <w:p>
            <w:r>
              <w:rPr>
                <w:sz w:val="17"/>
              </w:rPr>
              <w:t>Inspection</w:t>
            </w:r>
          </w:p>
        </w:tc>
      </w:tr>
      <w:tr>
        <w:tc>
          <w:tcPr>
            <w:tcW w:type="dxa" w:w="2412"/>
          </w:tcPr>
          <w:p>
            <w:r>
              <w:rPr>
                <w:sz w:val="17"/>
              </w:rPr>
              <w:t>FR-18</w:t>
            </w:r>
          </w:p>
        </w:tc>
        <w:tc>
          <w:tcPr>
            <w:tcW w:type="dxa" w:w="2412"/>
          </w:tcPr>
          <w:p>
            <w:r>
              <w:rPr>
                <w:sz w:val="17"/>
              </w:rPr>
              <w:t>Portal migration sequenced after ID card reissue⚠ Members are not asked to change portal and card in the same period</w:t>
            </w:r>
          </w:p>
        </w:tc>
        <w:tc>
          <w:tcPr>
            <w:tcW w:type="dxa" w:w="2412"/>
          </w:tcPr>
          <w:p>
            <w:r>
              <w:rPr>
                <w:sz w:val="17"/>
              </w:rPr>
              <w:t>Must</w:t>
            </w:r>
          </w:p>
        </w:tc>
        <w:tc>
          <w:tcPr>
            <w:tcW w:type="dxa" w:w="2412"/>
          </w:tcPr>
          <w:p>
            <w:r>
              <w:rPr>
                <w:sz w:val="17"/>
              </w:rPr>
              <w:t>Test</w:t>
            </w:r>
          </w:p>
        </w:tc>
      </w:tr>
      <w:tr>
        <w:tc>
          <w:tcPr>
            <w:tcW w:type="dxa" w:w="2412"/>
          </w:tcPr>
          <w:p>
            <w:r>
              <w:rPr>
                <w:sz w:val="17"/>
              </w:rPr>
              <w:t>FR-19</w:t>
            </w:r>
          </w:p>
        </w:tc>
        <w:tc>
          <w:tcPr>
            <w:tcW w:type="dxa" w:w="2412"/>
          </w:tcPr>
          <w:p>
            <w:r>
              <w:rPr>
                <w:sz w:val="17"/>
              </w:rPr>
              <w:t>Contact history migrates with the memberAn agent sees prior contacts regardless of which platform recorded them</w:t>
            </w:r>
          </w:p>
        </w:tc>
        <w:tc>
          <w:tcPr>
            <w:tcW w:type="dxa" w:w="2412"/>
          </w:tcPr>
          <w:p>
            <w:r>
              <w:rPr>
                <w:sz w:val="17"/>
              </w:rPr>
              <w:t>Must</w:t>
            </w:r>
          </w:p>
        </w:tc>
        <w:tc>
          <w:tcPr>
            <w:tcW w:type="dxa" w:w="2412"/>
          </w:tcPr>
          <w:p>
            <w:r>
              <w:rPr>
                <w:sz w:val="17"/>
              </w:rPr>
              <w:t>Inspection</w:t>
            </w:r>
          </w:p>
        </w:tc>
      </w:tr>
      <w:tr>
        <w:tc>
          <w:tcPr>
            <w:tcW w:type="dxa" w:w="2412"/>
          </w:tcPr>
          <w:p>
            <w:r>
              <w:rPr>
                <w:sz w:val="17"/>
              </w:rPr>
              <w:t>FR-20</w:t>
            </w:r>
          </w:p>
        </w:tc>
        <w:tc>
          <w:tcPr>
            <w:tcW w:type="dxa" w:w="2412"/>
          </w:tcPr>
          <w:p>
            <w:r>
              <w:rPr>
                <w:sz w:val="17"/>
              </w:rPr>
              <w:t>Single knowledge baseAgents work from one source, even while two systems run</w:t>
            </w:r>
          </w:p>
        </w:tc>
        <w:tc>
          <w:tcPr>
            <w:tcW w:type="dxa" w:w="2412"/>
          </w:tcPr>
          <w:p>
            <w:r>
              <w:rPr>
                <w:sz w:val="17"/>
              </w:rPr>
              <w:t>Should</w:t>
            </w:r>
          </w:p>
        </w:tc>
        <w:tc>
          <w:tcPr>
            <w:tcW w:type="dxa" w:w="2412"/>
          </w:tcPr>
          <w:p>
            <w:r>
              <w:rPr>
                <w:sz w:val="17"/>
              </w:rPr>
              <w:t>Test</w:t>
            </w:r>
          </w:p>
        </w:tc>
      </w:tr>
      <w:tr>
        <w:tc>
          <w:tcPr>
            <w:tcW w:type="dxa" w:w="2412"/>
          </w:tcPr>
          <w:p>
            <w:r>
              <w:rPr>
                <w:sz w:val="17"/>
              </w:rPr>
              <w:t>FR-21</w:t>
            </w:r>
          </w:p>
        </w:tc>
        <w:tc>
          <w:tcPr>
            <w:tcW w:type="dxa" w:w="2412"/>
          </w:tcPr>
          <w:p>
            <w:r>
              <w:rPr>
                <w:sz w:val="17"/>
              </w:rPr>
              <w:t>Combined-population provider analysisCost, utilization and quality across both books on conformed definitions</w:t>
            </w:r>
          </w:p>
        </w:tc>
        <w:tc>
          <w:tcPr>
            <w:tcW w:type="dxa" w:w="2412"/>
          </w:tcPr>
          <w:p>
            <w:r>
              <w:rPr>
                <w:sz w:val="17"/>
              </w:rPr>
              <w:t>Must</w:t>
            </w:r>
          </w:p>
        </w:tc>
        <w:tc>
          <w:tcPr>
            <w:tcW w:type="dxa" w:w="2412"/>
          </w:tcPr>
          <w:p>
            <w:r>
              <w:rPr>
                <w:sz w:val="17"/>
              </w:rPr>
              <w:t>Test</w:t>
            </w:r>
          </w:p>
        </w:tc>
      </w:tr>
      <w:tr>
        <w:tc>
          <w:tcPr>
            <w:tcW w:type="dxa" w:w="2412"/>
          </w:tcPr>
          <w:p>
            <w:r>
              <w:rPr>
                <w:sz w:val="17"/>
              </w:rPr>
              <w:t>FR-22</w:t>
            </w:r>
          </w:p>
        </w:tc>
        <w:tc>
          <w:tcPr>
            <w:tcW w:type="dxa" w:w="2412"/>
          </w:tcPr>
          <w:p>
            <w:r>
              <w:rPr>
                <w:sz w:val="17"/>
              </w:rPr>
              <w:t>Overlap identifiedProviders contracted with both entities, with both rate structures visible</w:t>
            </w:r>
          </w:p>
        </w:tc>
        <w:tc>
          <w:tcPr>
            <w:tcW w:type="dxa" w:w="2412"/>
          </w:tcPr>
          <w:p>
            <w:r>
              <w:rPr>
                <w:sz w:val="17"/>
              </w:rPr>
              <w:t>Must</w:t>
            </w:r>
          </w:p>
        </w:tc>
        <w:tc>
          <w:tcPr>
            <w:tcW w:type="dxa" w:w="2412"/>
          </w:tcPr>
          <w:p>
            <w:r>
              <w:rPr>
                <w:sz w:val="17"/>
              </w:rPr>
              <w:t>Test</w:t>
            </w:r>
          </w:p>
        </w:tc>
      </w:tr>
      <w:tr>
        <w:tc>
          <w:tcPr>
            <w:tcW w:type="dxa" w:w="2412"/>
          </w:tcPr>
          <w:p>
            <w:r>
              <w:rPr>
                <w:sz w:val="17"/>
              </w:rPr>
              <w:t>FR-23</w:t>
            </w:r>
          </w:p>
        </w:tc>
        <w:tc>
          <w:tcPr>
            <w:tcW w:type="dxa" w:w="2412"/>
          </w:tcPr>
          <w:p>
            <w:r>
              <w:rPr>
                <w:sz w:val="17"/>
              </w:rPr>
              <w:t>Renewal-dated action⚠ Rate alignment happens at contract renewal. A renewal date is a constraint, not a target.</w:t>
            </w:r>
          </w:p>
        </w:tc>
        <w:tc>
          <w:tcPr>
            <w:tcW w:type="dxa" w:w="2412"/>
          </w:tcPr>
          <w:p>
            <w:r>
              <w:rPr>
                <w:sz w:val="17"/>
              </w:rPr>
              <w:t>Must</w:t>
            </w:r>
          </w:p>
        </w:tc>
        <w:tc>
          <w:tcPr>
            <w:tcW w:type="dxa" w:w="2412"/>
          </w:tcPr>
          <w:p>
            <w:r>
              <w:rPr>
                <w:sz w:val="17"/>
              </w:rPr>
              <w:t>Test</w:t>
            </w:r>
          </w:p>
        </w:tc>
      </w:tr>
      <w:tr>
        <w:tc>
          <w:tcPr>
            <w:tcW w:type="dxa" w:w="2412"/>
          </w:tcPr>
          <w:p>
            <w:r>
              <w:rPr>
                <w:sz w:val="17"/>
              </w:rPr>
              <w:t>FR-24</w:t>
            </w:r>
          </w:p>
        </w:tc>
        <w:tc>
          <w:tcPr>
            <w:tcW w:type="dxa" w:w="2412"/>
          </w:tcPr>
          <w:p>
            <w:r>
              <w:rPr>
                <w:sz w:val="17"/>
              </w:rPr>
              <w:t>Network adequacy maintained⚠ Regulatory adequacy tested before any termination. Rationalization may not create a gap.</w:t>
            </w:r>
          </w:p>
        </w:tc>
        <w:tc>
          <w:tcPr>
            <w:tcW w:type="dxa" w:w="2412"/>
          </w:tcPr>
          <w:p>
            <w:r>
              <w:rPr>
                <w:sz w:val="17"/>
              </w:rPr>
              <w:t>Must</w:t>
            </w:r>
          </w:p>
        </w:tc>
        <w:tc>
          <w:tcPr>
            <w:tcW w:type="dxa" w:w="2412"/>
          </w:tcPr>
          <w:p>
            <w:r>
              <w:rPr>
                <w:sz w:val="17"/>
              </w:rPr>
              <w:t>Analysis</w:t>
            </w:r>
          </w:p>
        </w:tc>
      </w:tr>
      <w:tr>
        <w:tc>
          <w:tcPr>
            <w:tcW w:type="dxa" w:w="2412"/>
          </w:tcPr>
          <w:p>
            <w:r>
              <w:rPr>
                <w:sz w:val="17"/>
              </w:rPr>
              <w:t>FR-25</w:t>
            </w:r>
          </w:p>
        </w:tc>
        <w:tc>
          <w:tcPr>
            <w:tcW w:type="dxa" w:w="2412"/>
          </w:tcPr>
          <w:p>
            <w:r>
              <w:rPr>
                <w:sz w:val="17"/>
              </w:rPr>
              <w:t>Provider-facing change minimizedA provider experiences one change, not one per system</w:t>
            </w:r>
          </w:p>
        </w:tc>
        <w:tc>
          <w:tcPr>
            <w:tcW w:type="dxa" w:w="2412"/>
          </w:tcPr>
          <w:p>
            <w:r>
              <w:rPr>
                <w:sz w:val="17"/>
              </w:rPr>
              <w:t>Should</w:t>
            </w:r>
          </w:p>
        </w:tc>
        <w:tc>
          <w:tcPr>
            <w:tcW w:type="dxa" w:w="2412"/>
          </w:tcPr>
          <w:p>
            <w:r>
              <w:rPr>
                <w:sz w:val="17"/>
              </w:rPr>
              <w:t>Test</w:t>
            </w:r>
          </w:p>
        </w:tc>
      </w:tr>
      <w:tr>
        <w:tc>
          <w:tcPr>
            <w:tcW w:type="dxa" w:w="2412"/>
          </w:tcPr>
          <w:p>
            <w:r>
              <w:rPr>
                <w:sz w:val="17"/>
              </w:rPr>
              <w:t>NFR-01</w:t>
            </w:r>
          </w:p>
        </w:tc>
        <w:tc>
          <w:tcPr>
            <w:tcW w:type="dxa" w:w="2412"/>
          </w:tcPr>
          <w:p>
            <w:r>
              <w:rPr>
                <w:sz w:val="17"/>
              </w:rPr>
              <w:t>Care management availabilityTier 1. ⚠ Clinical staff work in it during business hours; an outage is deferred care.</w:t>
            </w:r>
          </w:p>
        </w:tc>
        <w:tc>
          <w:tcPr>
            <w:tcW w:type="dxa" w:w="2412"/>
          </w:tcPr>
          <w:p>
            <w:r>
              <w:rPr>
                <w:sz w:val="17"/>
              </w:rPr>
              <w:t>Must</w:t>
            </w:r>
          </w:p>
        </w:tc>
        <w:tc>
          <w:tcPr>
            <w:tcW w:type="dxa" w:w="2412"/>
          </w:tcPr>
          <w:p>
            <w:r>
              <w:rPr>
                <w:sz w:val="17"/>
              </w:rPr>
              <w:t>Test</w:t>
            </w:r>
          </w:p>
        </w:tc>
      </w:tr>
      <w:tr>
        <w:tc>
          <w:tcPr>
            <w:tcW w:type="dxa" w:w="2412"/>
          </w:tcPr>
          <w:p>
            <w:r>
              <w:rPr>
                <w:sz w:val="17"/>
              </w:rPr>
              <w:t>NFR-02</w:t>
            </w:r>
          </w:p>
        </w:tc>
        <w:tc>
          <w:tcPr>
            <w:tcW w:type="dxa" w:w="2412"/>
          </w:tcPr>
          <w:p>
            <w:r>
              <w:rPr>
                <w:sz w:val="17"/>
              </w:rPr>
              <w:t>Authorization turnaroundWithin regulatory decision timeframes, measured end to end across the seam</w:t>
            </w:r>
          </w:p>
        </w:tc>
        <w:tc>
          <w:tcPr>
            <w:tcW w:type="dxa" w:w="2412"/>
          </w:tcPr>
          <w:p>
            <w:r>
              <w:rPr>
                <w:sz w:val="17"/>
              </w:rPr>
              <w:t>Must</w:t>
            </w:r>
          </w:p>
        </w:tc>
        <w:tc>
          <w:tcPr>
            <w:tcW w:type="dxa" w:w="2412"/>
          </w:tcPr>
          <w:p>
            <w:r>
              <w:rPr>
                <w:sz w:val="17"/>
              </w:rPr>
              <w:t>Test</w:t>
            </w:r>
          </w:p>
        </w:tc>
      </w:tr>
      <w:tr>
        <w:tc>
          <w:tcPr>
            <w:tcW w:type="dxa" w:w="2412"/>
          </w:tcPr>
          <w:p>
            <w:r>
              <w:rPr>
                <w:sz w:val="17"/>
              </w:rPr>
              <w:t>NFR-03</w:t>
            </w:r>
          </w:p>
        </w:tc>
        <w:tc>
          <w:tcPr>
            <w:tcW w:type="dxa" w:w="2412"/>
          </w:tcPr>
          <w:p>
            <w:r>
              <w:rPr>
                <w:sz w:val="17"/>
              </w:rPr>
              <w:t>Member service responseExisting service levels maintained through coexistence</w:t>
            </w:r>
          </w:p>
        </w:tc>
        <w:tc>
          <w:tcPr>
            <w:tcW w:type="dxa" w:w="2412"/>
          </w:tcPr>
          <w:p>
            <w:r>
              <w:rPr>
                <w:sz w:val="17"/>
              </w:rPr>
              <w:t>Must</w:t>
            </w:r>
          </w:p>
        </w:tc>
        <w:tc>
          <w:tcPr>
            <w:tcW w:type="dxa" w:w="2412"/>
          </w:tcPr>
          <w:p>
            <w:r>
              <w:rPr>
                <w:sz w:val="17"/>
              </w:rPr>
              <w:t>Test</w:t>
            </w:r>
          </w:p>
        </w:tc>
      </w:tr>
      <w:tr>
        <w:tc>
          <w:tcPr>
            <w:tcW w:type="dxa" w:w="2412"/>
          </w:tcPr>
          <w:p>
            <w:r>
              <w:rPr>
                <w:sz w:val="17"/>
              </w:rPr>
              <w:t>NFR-04</w:t>
            </w:r>
          </w:p>
        </w:tc>
        <w:tc>
          <w:tcPr>
            <w:tcW w:type="dxa" w:w="2412"/>
          </w:tcPr>
          <w:p>
            <w:r>
              <w:rPr>
                <w:sz w:val="17"/>
              </w:rPr>
              <w:t>Clinical data handling⚠ Care management data is clinical PHI. Access restricted beyond standard member data.</w:t>
            </w:r>
          </w:p>
        </w:tc>
        <w:tc>
          <w:tcPr>
            <w:tcW w:type="dxa" w:w="2412"/>
          </w:tcPr>
          <w:p>
            <w:r>
              <w:rPr>
                <w:sz w:val="17"/>
              </w:rPr>
              <w:t>Must</w:t>
            </w:r>
          </w:p>
        </w:tc>
        <w:tc>
          <w:tcPr>
            <w:tcW w:type="dxa" w:w="2412"/>
          </w:tcPr>
          <w:p>
            <w:r>
              <w:rPr>
                <w:sz w:val="17"/>
              </w:rPr>
              <w:t>Test</w:t>
            </w:r>
          </w:p>
        </w:tc>
      </w:tr>
      <w:tr>
        <w:tc>
          <w:tcPr>
            <w:tcW w:type="dxa" w:w="2412"/>
          </w:tcPr>
          <w:p>
            <w:r>
              <w:rPr>
                <w:sz w:val="17"/>
              </w:rPr>
              <w:t>NFR-05</w:t>
            </w:r>
          </w:p>
        </w:tc>
        <w:tc>
          <w:tcPr>
            <w:tcW w:type="dxa" w:w="2412"/>
          </w:tcPr>
          <w:p>
            <w:r>
              <w:rPr>
                <w:sz w:val="17"/>
              </w:rPr>
              <w:t>Preserved platform currency⚠ Within vendor-supported versions at all times. Tracked, not assumed.</w:t>
            </w:r>
          </w:p>
        </w:tc>
        <w:tc>
          <w:tcPr>
            <w:tcW w:type="dxa" w:w="2412"/>
          </w:tcPr>
          <w:p>
            <w:r>
              <w:rPr>
                <w:sz w:val="17"/>
              </w:rPr>
              <w:t>Must</w:t>
            </w:r>
          </w:p>
        </w:tc>
        <w:tc>
          <w:tcPr>
            <w:tcW w:type="dxa" w:w="2412"/>
          </w:tcPr>
          <w:p>
            <w:r>
              <w:rPr>
                <w:sz w:val="17"/>
              </w:rPr>
              <w:t>Inspection</w:t>
            </w:r>
          </w:p>
        </w:tc>
      </w:tr>
    </w:tbl>
    <w:p/>
    <w:p>
      <w:pPr>
        <w:spacing w:before="320"/>
      </w:pPr>
      <w:r>
        <w:rPr>
          <w:b/>
          <w:color w:val="12304A"/>
          <w:sz w:val="28"/>
        </w:rPr>
        <w:t>09 — Traceability gaps, recorded not hidden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Gap</w:t>
            </w:r>
          </w:p>
        </w:tc>
        <w:tc>
          <w:tcPr>
            <w:tcW w:type="dxa" w:w="3216"/>
          </w:tcPr>
          <w:p>
            <w:r>
              <w:rPr>
                <w:b/>
                <w:sz w:val="17"/>
              </w:rPr>
              <w:t>Why it matters</w:t>
            </w:r>
          </w:p>
        </w:tc>
      </w:tr>
      <w:tr>
        <w:tc>
          <w:tcPr>
            <w:tcW w:type="dxa" w:w="3216"/>
          </w:tcPr>
          <w:p>
            <w:r>
              <w:rPr>
                <w:sz w:val="17"/>
              </w:rPr>
              <w:t>G-01</w:t>
            </w:r>
          </w:p>
        </w:tc>
        <w:tc>
          <w:tcPr>
            <w:tcW w:type="dxa" w:w="3216"/>
          </w:tcPr>
          <w:p>
            <w:r>
              <w:rPr>
                <w:sz w:val="17"/>
              </w:rPr>
              <w:t>No BRD covers organizational change, communications or retention</w:t>
            </w:r>
          </w:p>
        </w:tc>
        <w:tc>
          <w:tcPr>
            <w:tcW w:type="dxa" w:w="3216"/>
          </w:tcPr>
          <w:p>
            <w:r>
              <w:rPr>
                <w:sz w:val="17"/>
              </w:rPr>
              <w:t>⚠ Those are managed through plans 17, 18 and 19 rather than as requirements. Deliberate — they have owners and measures, but no testable acceptance criteria, and forcing them into a requirements format would produce statements nobody could verify.</w:t>
            </w:r>
          </w:p>
        </w:tc>
      </w:tr>
      <w:tr>
        <w:tc>
          <w:tcPr>
            <w:tcW w:type="dxa" w:w="3216"/>
          </w:tcPr>
          <w:p>
            <w:r>
              <w:rPr>
                <w:sz w:val="17"/>
              </w:rPr>
              <w:t>G-02</w:t>
            </w:r>
          </w:p>
        </w:tc>
        <w:tc>
          <w:tcPr>
            <w:tcW w:type="dxa" w:w="3216"/>
          </w:tcPr>
          <w:p>
            <w:r>
              <w:rPr>
                <w:sz w:val="17"/>
              </w:rPr>
              <w:t>Finance, HR and facilities consolidation have no BRD</w:t>
            </w:r>
          </w:p>
        </w:tc>
        <w:tc>
          <w:tcPr>
            <w:tcW w:type="dxa" w:w="3216"/>
          </w:tcPr>
          <w:p>
            <w:r>
              <w:rPr>
                <w:sz w:val="17"/>
              </w:rPr>
              <w:t>Straight absorption onto existing ACME platforms with no configuration decisions of consequence. ⚠ Recorded so the absence is a judgment rather than an oversight.</w:t>
            </w:r>
          </w:p>
        </w:tc>
      </w:tr>
      <w:tr>
        <w:tc>
          <w:tcPr>
            <w:tcW w:type="dxa" w:w="3216"/>
          </w:tcPr>
          <w:p>
            <w:r>
              <w:rPr>
                <w:sz w:val="17"/>
              </w:rPr>
              <w:t>G-03</w:t>
            </w:r>
          </w:p>
        </w:tc>
        <w:tc>
          <w:tcPr>
            <w:tcW w:type="dxa" w:w="3216"/>
          </w:tcPr>
          <w:p>
            <w:r>
              <w:rPr>
                <w:sz w:val="17"/>
              </w:rPr>
              <w:t>Requirements for the retiring platforms' decommissioning are thin</w:t>
            </w:r>
          </w:p>
        </w:tc>
        <w:tc>
          <w:tcPr>
            <w:tcW w:type="dxa" w:w="3216"/>
          </w:tcPr>
          <w:p>
            <w:r>
              <w:rPr>
                <w:sz w:val="17"/>
              </w:rPr>
              <w:t>Covered by BRD-02 acceptance criterion 8 and the wave plan. ⚠ A decommissioning that is one line in someone else's acceptance criteria is the shape of work that slips.</w:t>
            </w:r>
          </w:p>
        </w:tc>
      </w:tr>
      <w:tr>
        <w:tc>
          <w:tcPr>
            <w:tcW w:type="dxa" w:w="3216"/>
          </w:tcPr>
          <w:p>
            <w:r>
              <w:rPr>
                <w:sz w:val="17"/>
              </w:rPr>
              <w:t>G-04</w:t>
            </w:r>
          </w:p>
        </w:tc>
        <w:tc>
          <w:tcPr>
            <w:tcW w:type="dxa" w:w="3216"/>
          </w:tcPr>
          <w:p>
            <w:r>
              <w:rPr>
                <w:sz w:val="17"/>
              </w:rPr>
              <w:t>BRD-05 FR-01 depends on a baseline set by the party being measured</w:t>
            </w:r>
          </w:p>
        </w:tc>
        <w:tc>
          <w:tcPr>
            <w:tcW w:type="dxa" w:w="3216"/>
          </w:tcPr>
          <w:p>
            <w:r>
              <w:rPr>
                <w:sz w:val="17"/>
              </w:rPr>
              <w:t>⚠ Unavoidable — only Cumberland Valley holds the pre-transaction clinical data. Mitigated by the baseline being signed by both medical officers rather than accepted.</w:t>
            </w:r>
          </w:p>
        </w:tc>
      </w:tr>
      <w:tr>
        <w:tc>
          <w:tcPr>
            <w:tcW w:type="dxa" w:w="3216"/>
          </w:tcPr>
          <w:p>
            <w:r>
              <w:rPr>
                <w:sz w:val="17"/>
              </w:rPr>
              <w:t>G-05</w:t>
            </w:r>
          </w:p>
        </w:tc>
        <w:tc>
          <w:tcPr>
            <w:tcW w:type="dxa" w:w="3216"/>
          </w:tcPr>
          <w:p>
            <w:r>
              <w:rPr>
                <w:sz w:val="17"/>
              </w:rPr>
              <w:t>No requirement covers what happens if identity resolution overruns</w:t>
            </w:r>
          </w:p>
        </w:tc>
        <w:tc>
          <w:tcPr>
            <w:tcW w:type="dxa" w:w="3216"/>
          </w:tcPr>
          <w:p>
            <w:r>
              <w:rPr>
                <w:sz w:val="17"/>
              </w:rPr>
              <w:t>⚠ The single largest schedule risk on the program has no requirement, because it is a risk rather than a requirement. It sits in the risk register as R-01 with a named owner. Recorded here because a reader tracing schedule exposure through this matrix will not find it.</w:t>
            </w:r>
          </w:p>
        </w:tc>
      </w:tr>
    </w:tbl>
    <w:p/>
    <w:p>
      <w:pPr>
        <w:spacing w:before="120"/>
        <w:ind w:left="360"/>
      </w:pPr>
      <w:r>
        <w:rPr>
          <w:i/>
          <w:color w:val="12304A"/>
          <w:sz w:val="20"/>
        </w:rPr>
        <w:t>G-05 is the one to read twice. The largest schedule exposure on this program — that member identity resolution proves materially harder than the deal model assumed — appears nowhere in this matrix, because it is a risk rather than a requirement. The requirements say what the system must do; they cannot say how long it will take when the volume is unknown. ⚠ It is owned in the risk register with a named owner and an active mitigation, which is the right place for it. But a reader tracing program exposure through a traceability matrix would find complete coverage and conclude, wrongly, that the exposure is covered. That is exactly why the gaps section exists.</w:t>
      </w:r>
    </w:p>
    <w:p>
      <w:pPr>
        <w:spacing w:before="320"/>
      </w:pPr>
      <w:r>
        <w:rPr>
          <w:b/>
          <w:color w:val="12304A"/>
          <w:sz w:val="28"/>
        </w:rPr>
        <w:t>10 — How to read this against the program</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Question</w:t>
            </w:r>
          </w:p>
        </w:tc>
        <w:tc>
          <w:tcPr>
            <w:tcW w:type="dxa" w:w="4824"/>
          </w:tcPr>
          <w:p>
            <w:r>
              <w:rPr>
                <w:b/>
                <w:sz w:val="17"/>
              </w:rPr>
              <w:t>Where this matrix answers it</w:t>
            </w:r>
          </w:p>
        </w:tc>
      </w:tr>
      <w:tr>
        <w:tc>
          <w:tcPr>
            <w:tcW w:type="dxa" w:w="4824"/>
          </w:tcPr>
          <w:p>
            <w:r>
              <w:rPr>
                <w:sz w:val="17"/>
              </w:rPr>
              <w:t>Is every requirement verified?</w:t>
            </w:r>
          </w:p>
        </w:tc>
        <w:tc>
          <w:tcPr>
            <w:tcW w:type="dxa" w:w="4824"/>
          </w:tcPr>
          <w:p>
            <w:r>
              <w:rPr>
                <w:sz w:val="17"/>
              </w:rPr>
              <w:t>§02 — requirements traced equals requirements written, per BRD</w:t>
            </w:r>
          </w:p>
        </w:tc>
      </w:tr>
      <w:tr>
        <w:tc>
          <w:tcPr>
            <w:tcW w:type="dxa" w:w="4824"/>
          </w:tcPr>
          <w:p>
            <w:r>
              <w:rPr>
                <w:sz w:val="17"/>
              </w:rPr>
              <w:t>How is it verified?</w:t>
            </w:r>
          </w:p>
        </w:tc>
        <w:tc>
          <w:tcPr>
            <w:tcW w:type="dxa" w:w="4824"/>
          </w:tcPr>
          <w:p>
            <w:r>
              <w:rPr>
                <w:sz w:val="17"/>
              </w:rPr>
              <w:t>§03 and the method column in each BRD section</w:t>
            </w:r>
          </w:p>
        </w:tc>
      </w:tr>
      <w:tr>
        <w:tc>
          <w:tcPr>
            <w:tcW w:type="dxa" w:w="4824"/>
          </w:tcPr>
          <w:p>
            <w:r>
              <w:rPr>
                <w:sz w:val="17"/>
              </w:rPr>
              <w:t>What is verified by someone independent?</w:t>
            </w:r>
          </w:p>
        </w:tc>
        <w:tc>
          <w:tcPr>
            <w:tcW w:type="dxa" w:w="4824"/>
          </w:tcPr>
          <w:p>
            <w:r>
              <w:rPr>
                <w:sz w:val="17"/>
              </w:rPr>
              <w:t>⚠ The Audit rows — and only those</w:t>
            </w:r>
          </w:p>
        </w:tc>
      </w:tr>
      <w:tr>
        <w:tc>
          <w:tcPr>
            <w:tcW w:type="dxa" w:w="4824"/>
          </w:tcPr>
          <w:p>
            <w:r>
              <w:rPr>
                <w:sz w:val="17"/>
              </w:rPr>
              <w:t>What is not covered?</w:t>
            </w:r>
          </w:p>
        </w:tc>
        <w:tc>
          <w:tcPr>
            <w:tcW w:type="dxa" w:w="4824"/>
          </w:tcPr>
          <w:p>
            <w:r>
              <w:rPr>
                <w:sz w:val="17"/>
              </w:rPr>
              <w:t>§09, including one gap that is a risk rather than a requirement</w:t>
            </w:r>
          </w:p>
        </w:tc>
      </w:tr>
      <w:tr>
        <w:tc>
          <w:tcPr>
            <w:tcW w:type="dxa" w:w="4824"/>
          </w:tcPr>
          <w:p>
            <w:r>
              <w:rPr>
                <w:sz w:val="17"/>
              </w:rPr>
              <w:t>Where is the design that satisfies a requirement?</w:t>
            </w:r>
          </w:p>
        </w:tc>
        <w:tc>
          <w:tcPr>
            <w:tcW w:type="dxa" w:w="4824"/>
          </w:tcPr>
          <w:p>
            <w:r>
              <w:rPr>
                <w:sz w:val="17"/>
              </w:rPr>
              <w:t>The traceability section inside each BRD, which names the design artifact and the evidence</w:t>
            </w:r>
          </w:p>
        </w:tc>
      </w:tr>
    </w:tbl>
    <w:p/>
    <w:p>
      <w:pPr>
        <w:spacing w:before="120"/>
        <w:ind w:left="360"/>
      </w:pPr>
      <w:r>
        <w:rPr>
          <w:i/>
          <w:color w:val="12304A"/>
          <w:sz w:val="20"/>
        </w:rPr>
        <w:t>The useful test to run on this matrix, and the one an interviewer might: pick any requirement and follow it forward. It should reach a named design artifact, a verification method, a person who owns the evidence, and an acceptance criterion that says what "done" looks like. Where that chain breaks, the break is either recorded in §09 or it is a defect in the suite — and either answer is more useful than a matrix that only demonstrates that a matrix was produced.</w:t>
      </w:r>
    </w:p>
    <w:p>
      <w:r>
        <w:t>Related artifacts: BRD-01 · BRD-02 · BRD-03 · BRD-04 · BRD-05 · 26 — Quality Plan · 28 — Risk Register</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