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19 ·</w:t>
      </w:r>
    </w:p>
    <w:p>
      <w:r>
        <w:rPr>
          <w:b/>
          <w:color w:val="12304A"/>
          <w:sz w:val="44"/>
        </w:rPr>
        <w:t>Retention &amp; Key Talent Plan</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Which sixteen roles the program cannot afford to lose before the transition services agreement is exited, why those and not others, and what the retention instruments are actually buying. Issued September 5, 2023 — three weeks before closing, so that offers can be made in the closing week rather than after people have started drawing their own conclusions.</w:t>
      </w:r>
    </w:p>
    <w:p>
      <w:pPr>
        <w:spacing w:before="120"/>
        <w:ind w:left="360"/>
      </w:pPr>
      <w:r>
        <w:rPr>
          <w:i/>
          <w:color w:val="12304A"/>
          <w:sz w:val="20"/>
        </w:rPr>
        <w:t>Retention does not buy loyalty, engagement or goodwill. It buys time, and specifically it buys the time to transfer knowledge — not the time to keep doing the job. That distinction decides everything else in this plan. If the purpose were continuity of work, the instruments would cover the largest number of people for the longest period. Because the purpose is transfer, they cover a small number of people whose knowledge is undocumented, for exactly as long as the transfer takes, and each one is paired with a named receiver who has to be able to do the job at the end of it. ⚠ A retention payment with no transfer obligation attached buys a person who stays and then leaves with everything still in their head.</w:t>
      </w:r>
    </w:p>
    <w:p>
      <w:pPr>
        <w:spacing w:before="320"/>
      </w:pPr>
      <w:r>
        <w:rPr>
          <w:b/>
          <w:color w:val="12304A"/>
          <w:sz w:val="28"/>
        </w:rPr>
        <w:t>1. Objectives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Objective</w:t>
            </w:r>
          </w:p>
        </w:tc>
        <w:tc>
          <w:tcPr>
            <w:tcW w:type="dxa" w:w="3216"/>
          </w:tcPr>
          <w:p>
            <w:r>
              <w:rPr>
                <w:b/>
                <w:sz w:val="17"/>
              </w:rPr>
              <w:t>Measure</w:t>
            </w:r>
          </w:p>
        </w:tc>
        <w:tc>
          <w:tcPr>
            <w:tcW w:type="dxa" w:w="3216"/>
          </w:tcPr>
          <w:p>
            <w:r>
              <w:rPr>
                <w:b/>
                <w:sz w:val="17"/>
              </w:rPr>
              <w:t>Target</w:t>
            </w:r>
          </w:p>
        </w:tc>
      </w:tr>
      <w:tr>
        <w:tc>
          <w:tcPr>
            <w:tcW w:type="dxa" w:w="3216"/>
          </w:tcPr>
          <w:p>
            <w:r>
              <w:rPr>
                <w:sz w:val="17"/>
              </w:rPr>
              <w:t>Critical knowledge available through TSA exit</w:t>
            </w:r>
          </w:p>
        </w:tc>
        <w:tc>
          <w:tcPr>
            <w:tcW w:type="dxa" w:w="3216"/>
          </w:tcPr>
          <w:p>
            <w:r>
              <w:rPr>
                <w:sz w:val="17"/>
              </w:rPr>
              <w:t>Covered roles retained to their release date</w:t>
            </w:r>
          </w:p>
        </w:tc>
        <w:tc>
          <w:tcPr>
            <w:tcW w:type="dxa" w:w="3216"/>
          </w:tcPr>
          <w:p>
            <w:r>
              <w:rPr>
                <w:sz w:val="17"/>
              </w:rPr>
              <w:t>⚠ Above 85%. Not 100% — a plan assuming nobody leaves is not a plan.</w:t>
            </w:r>
          </w:p>
        </w:tc>
      </w:tr>
      <w:tr>
        <w:tc>
          <w:tcPr>
            <w:tcW w:type="dxa" w:w="3216"/>
          </w:tcPr>
          <w:p>
            <w:r>
              <w:rPr>
                <w:sz w:val="17"/>
              </w:rPr>
              <w:t>Knowledge transferred, not merely retained</w:t>
            </w:r>
          </w:p>
        </w:tc>
        <w:tc>
          <w:tcPr>
            <w:tcW w:type="dxa" w:w="3216"/>
          </w:tcPr>
          <w:p>
            <w:r>
              <w:rPr>
                <w:sz w:val="17"/>
              </w:rPr>
              <w:t>Transfer accepted by reverse shadowing</w:t>
            </w:r>
          </w:p>
        </w:tc>
        <w:tc>
          <w:tcPr>
            <w:tcW w:type="dxa" w:w="3216"/>
          </w:tcPr>
          <w:p>
            <w:r>
              <w:rPr>
                <w:sz w:val="17"/>
              </w:rPr>
              <w:t>Every covered role has an accepted transfer before release</w:t>
            </w:r>
          </w:p>
        </w:tc>
      </w:tr>
      <w:tr>
        <w:tc>
          <w:tcPr>
            <w:tcW w:type="dxa" w:w="3216"/>
          </w:tcPr>
          <w:p>
            <w:r>
              <w:rPr>
                <w:sz w:val="17"/>
              </w:rPr>
              <w:t>No single point of knowledge at TSA exit</w:t>
            </w:r>
          </w:p>
        </w:tc>
        <w:tc>
          <w:tcPr>
            <w:tcW w:type="dxa" w:w="3216"/>
          </w:tcPr>
          <w:p>
            <w:r>
              <w:rPr>
                <w:sz w:val="17"/>
              </w:rPr>
              <w:t>Roles with no trained receiver</w:t>
            </w:r>
          </w:p>
        </w:tc>
        <w:tc>
          <w:tcPr>
            <w:tcW w:type="dxa" w:w="3216"/>
          </w:tcPr>
          <w:p>
            <w:r>
              <w:rPr>
                <w:sz w:val="17"/>
              </w:rPr>
              <w:t>Zero</w:t>
            </w:r>
          </w:p>
        </w:tc>
      </w:tr>
      <w:tr>
        <w:tc>
          <w:tcPr>
            <w:tcW w:type="dxa" w:w="3216"/>
          </w:tcPr>
          <w:p>
            <w:r>
              <w:rPr>
                <w:sz w:val="17"/>
              </w:rPr>
              <w:t>People treated straightforwardly</w:t>
            </w:r>
          </w:p>
        </w:tc>
        <w:tc>
          <w:tcPr>
            <w:tcW w:type="dxa" w:w="3216"/>
          </w:tcPr>
          <w:p>
            <w:r>
              <w:rPr>
                <w:sz w:val="17"/>
              </w:rPr>
              <w:t>⚠ Departures citing being misled</w:t>
            </w:r>
          </w:p>
        </w:tc>
        <w:tc>
          <w:tcPr>
            <w:tcW w:type="dxa" w:w="3216"/>
          </w:tcPr>
          <w:p>
            <w:r>
              <w:rPr>
                <w:sz w:val="17"/>
              </w:rPr>
              <w:t>Zero. See §8.</w:t>
            </w:r>
          </w:p>
        </w:tc>
      </w:tr>
      <w:tr>
        <w:tc>
          <w:tcPr>
            <w:tcW w:type="dxa" w:w="3216"/>
          </w:tcPr>
          <w:p>
            <w:r>
              <w:rPr>
                <w:sz w:val="17"/>
              </w:rPr>
              <w:t>Cost proportionate</w:t>
            </w:r>
          </w:p>
        </w:tc>
        <w:tc>
          <w:tcPr>
            <w:tcW w:type="dxa" w:w="3216"/>
          </w:tcPr>
          <w:p>
            <w:r>
              <w:rPr>
                <w:sz w:val="17"/>
              </w:rPr>
              <w:t>Retention spend against the exposure it protects</w:t>
            </w:r>
          </w:p>
        </w:tc>
        <w:tc>
          <w:tcPr>
            <w:tcW w:type="dxa" w:w="3216"/>
          </w:tcPr>
          <w:p>
            <w:r>
              <w:rPr>
                <w:sz w:val="17"/>
              </w:rPr>
              <w:t>Carried by Human Resources, not by the program budget</w:t>
            </w:r>
          </w:p>
        </w:tc>
      </w:tr>
    </w:tbl>
    <w:p/>
    <w:p>
      <w:pPr>
        <w:spacing w:before="320"/>
      </w:pPr>
      <w:r>
        <w:rPr>
          <w:b/>
          <w:color w:val="12304A"/>
          <w:sz w:val="28"/>
        </w:rPr>
        <w:t>2. Identification Criteria</w:t>
      </w:r>
    </w:p>
    <w:p>
      <w:r>
        <w:t>A role is covered if losing it before its release date would delay the TSA exit or create an unrecoverable knowledge loss. Seniority is not a criterion.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Criterion</w:t>
            </w:r>
          </w:p>
        </w:tc>
        <w:tc>
          <w:tcPr>
            <w:tcW w:type="dxa" w:w="3216"/>
          </w:tcPr>
          <w:p>
            <w:r>
              <w:rPr>
                <w:b/>
                <w:sz w:val="17"/>
              </w:rPr>
              <w:t>Test applied</w:t>
            </w:r>
          </w:p>
        </w:tc>
      </w:tr>
      <w:tr>
        <w:tc>
          <w:tcPr>
            <w:tcW w:type="dxa" w:w="3216"/>
          </w:tcPr>
          <w:p>
            <w:r>
              <w:rPr>
                <w:sz w:val="17"/>
              </w:rPr>
              <w:t>RC-01</w:t>
            </w:r>
          </w:p>
        </w:tc>
        <w:tc>
          <w:tcPr>
            <w:tcW w:type="dxa" w:w="3216"/>
          </w:tcPr>
          <w:p>
            <w:r>
              <w:rPr>
                <w:sz w:val="17"/>
              </w:rPr>
              <w:t>Undocumented system knowledge</w:t>
            </w:r>
          </w:p>
        </w:tc>
        <w:tc>
          <w:tcPr>
            <w:tcW w:type="dxa" w:w="3216"/>
          </w:tcPr>
          <w:p>
            <w:r>
              <w:rPr>
                <w:sz w:val="17"/>
              </w:rPr>
              <w:t>⚠ Can another person configure, reconcile or explain this system from documentation alone? If not, the role qualifies.</w:t>
            </w:r>
          </w:p>
        </w:tc>
      </w:tr>
      <w:tr>
        <w:tc>
          <w:tcPr>
            <w:tcW w:type="dxa" w:w="3216"/>
          </w:tcPr>
          <w:p>
            <w:r>
              <w:rPr>
                <w:sz w:val="17"/>
              </w:rPr>
              <w:t>RC-02</w:t>
            </w:r>
          </w:p>
        </w:tc>
        <w:tc>
          <w:tcPr>
            <w:tcW w:type="dxa" w:w="3216"/>
          </w:tcPr>
          <w:p>
            <w:r>
              <w:rPr>
                <w:sz w:val="17"/>
              </w:rPr>
              <w:t>Sole holder of a relationship</w:t>
            </w:r>
          </w:p>
        </w:tc>
        <w:tc>
          <w:tcPr>
            <w:tcW w:type="dxa" w:w="3216"/>
          </w:tcPr>
          <w:p>
            <w:r>
              <w:rPr>
                <w:sz w:val="17"/>
              </w:rPr>
              <w:t>Provider, regulator or trading partner relationships not held elsewhere</w:t>
            </w:r>
          </w:p>
        </w:tc>
      </w:tr>
      <w:tr>
        <w:tc>
          <w:tcPr>
            <w:tcW w:type="dxa" w:w="3216"/>
          </w:tcPr>
          <w:p>
            <w:r>
              <w:rPr>
                <w:sz w:val="17"/>
              </w:rPr>
              <w:t>RC-03</w:t>
            </w:r>
          </w:p>
        </w:tc>
        <w:tc>
          <w:tcPr>
            <w:tcW w:type="dxa" w:w="3216"/>
          </w:tcPr>
          <w:p>
            <w:r>
              <w:rPr>
                <w:sz w:val="17"/>
              </w:rPr>
              <w:t>Named in a regulatory filing or license</w:t>
            </w:r>
          </w:p>
        </w:tc>
        <w:tc>
          <w:tcPr>
            <w:tcW w:type="dxa" w:w="3216"/>
          </w:tcPr>
          <w:p>
            <w:r>
              <w:rPr>
                <w:sz w:val="17"/>
              </w:rPr>
              <w:t>Roles the regulator recognizes cannot be vacated without notification</w:t>
            </w:r>
          </w:p>
        </w:tc>
      </w:tr>
      <w:tr>
        <w:tc>
          <w:tcPr>
            <w:tcW w:type="dxa" w:w="3216"/>
          </w:tcPr>
          <w:p>
            <w:r>
              <w:rPr>
                <w:sz w:val="17"/>
              </w:rPr>
              <w:t>RC-04</w:t>
            </w:r>
          </w:p>
        </w:tc>
        <w:tc>
          <w:tcPr>
            <w:tcW w:type="dxa" w:w="3216"/>
          </w:tcPr>
          <w:p>
            <w:r>
              <w:rPr>
                <w:sz w:val="17"/>
              </w:rPr>
              <w:t>Required for TSA exit certification</w:t>
            </w:r>
          </w:p>
        </w:tc>
        <w:tc>
          <w:tcPr>
            <w:tcW w:type="dxa" w:w="3216"/>
          </w:tcPr>
          <w:p>
            <w:r>
              <w:rPr>
                <w:sz w:val="17"/>
              </w:rPr>
              <w:t>The receiving side of a knowledge transfer that has not yet happened</w:t>
            </w:r>
          </w:p>
        </w:tc>
      </w:tr>
      <w:tr>
        <w:tc>
          <w:tcPr>
            <w:tcW w:type="dxa" w:w="3216"/>
          </w:tcPr>
          <w:p>
            <w:r>
              <w:rPr>
                <w:sz w:val="17"/>
              </w:rPr>
              <w:t>RC-05</w:t>
            </w:r>
          </w:p>
        </w:tc>
        <w:tc>
          <w:tcPr>
            <w:tcW w:type="dxa" w:w="3216"/>
          </w:tcPr>
          <w:p>
            <w:r>
              <w:rPr>
                <w:sz w:val="17"/>
              </w:rPr>
              <w:t>Clinical program leadership</w:t>
            </w:r>
          </w:p>
        </w:tc>
        <w:tc>
          <w:tcPr>
            <w:tcW w:type="dxa" w:w="3216"/>
          </w:tcPr>
          <w:p>
            <w:r>
              <w:rPr>
                <w:sz w:val="17"/>
              </w:rPr>
              <w:t>⚠ The care management capability is preserved because it performs. The platform without the people is not the capability.</w:t>
            </w:r>
          </w:p>
        </w:tc>
      </w:tr>
      <w:tr>
        <w:tc>
          <w:tcPr>
            <w:tcW w:type="dxa" w:w="3216"/>
          </w:tcPr>
          <w:p>
            <w:r>
              <w:rPr>
                <w:sz w:val="17"/>
              </w:rPr>
              <w:t>RC-06</w:t>
            </w:r>
          </w:p>
        </w:tc>
        <w:tc>
          <w:tcPr>
            <w:tcW w:type="dxa" w:w="3216"/>
          </w:tcPr>
          <w:p>
            <w:r>
              <w:rPr>
                <w:sz w:val="17"/>
              </w:rPr>
              <w:t>Marketability</w:t>
            </w:r>
          </w:p>
        </w:tc>
        <w:tc>
          <w:tcPr>
            <w:tcW w:type="dxa" w:w="3216"/>
          </w:tcPr>
          <w:p>
            <w:r>
              <w:rPr>
                <w:sz w:val="17"/>
              </w:rPr>
              <w:t>⚠ A modifier, not a criterion on its own. Applied because the people most worth keeping are the most able to leave.</w:t>
            </w:r>
          </w:p>
        </w:tc>
      </w:tr>
    </w:tbl>
    <w:p/>
    <w:p>
      <w:pPr>
        <w:spacing w:before="120"/>
        <w:ind w:left="360"/>
      </w:pPr>
      <w:r>
        <w:rPr>
          <w:i/>
          <w:color w:val="12304A"/>
          <w:sz w:val="20"/>
        </w:rPr>
        <w:t>RC-01 is the criterion that produces uncomfortable results, and the discomfort is the signal. It surfaces mid-level configuration analysts and managers rather than executives — because the person who can explain why a claims edit exists is rarely the person who runs the department. A retention list built by seniority protects the org chart; a retention list built by RC-01 protects the program, and the two overlap far less than anyone expects. ⚠ Where a senior role appears on this list it is because of RC-02 or RC-03, not because of its level.</w:t>
      </w:r>
    </w:p>
    <w:p>
      <w:pPr>
        <w:spacing w:before="320"/>
      </w:pPr>
      <w:r>
        <w:rPr>
          <w:b/>
          <w:color w:val="12304A"/>
          <w:sz w:val="28"/>
        </w:rPr>
        <w:t>3. The Sixteen Covered Roles</w:t>
      </w:r>
    </w:p>
    <w:p>
      <w:r>
        <w:t>Tier A is released at TSA exit; Tier B at the completion of its workstream; Tier C at Day 100.</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Tier</w:t>
            </w:r>
          </w:p>
        </w:tc>
        <w:tc>
          <w:tcPr>
            <w:tcW w:type="dxa" w:w="2412"/>
          </w:tcPr>
          <w:p>
            <w:r>
              <w:rPr>
                <w:b/>
                <w:sz w:val="17"/>
              </w:rPr>
              <w:t>Individual</w:t>
            </w:r>
          </w:p>
        </w:tc>
        <w:tc>
          <w:tcPr>
            <w:tcW w:type="dxa" w:w="2412"/>
          </w:tcPr>
          <w:p>
            <w:r>
              <w:rPr>
                <w:b/>
                <w:sz w:val="17"/>
              </w:rPr>
              <w:t>Role</w:t>
            </w:r>
          </w:p>
        </w:tc>
        <w:tc>
          <w:tcPr>
            <w:tcW w:type="dxa" w:w="2412"/>
          </w:tcPr>
          <w:p>
            <w:r>
              <w:rPr>
                <w:b/>
                <w:sz w:val="17"/>
              </w:rPr>
              <w:t>Criterion and release</w:t>
            </w:r>
          </w:p>
        </w:tc>
      </w:tr>
      <w:tr>
        <w:tc>
          <w:tcPr>
            <w:tcW w:type="dxa" w:w="2412"/>
          </w:tcPr>
          <w:p>
            <w:r>
              <w:rPr>
                <w:sz w:val="17"/>
              </w:rPr>
              <w:t>A</w:t>
            </w:r>
          </w:p>
        </w:tc>
        <w:tc>
          <w:tcPr>
            <w:tcW w:type="dxa" w:w="2412"/>
          </w:tcPr>
          <w:p>
            <w:r>
              <w:rPr>
                <w:sz w:val="17"/>
              </w:rPr>
              <w:t>J. Whitfield</w:t>
            </w:r>
          </w:p>
        </w:tc>
        <w:tc>
          <w:tcPr>
            <w:tcW w:type="dxa" w:w="2412"/>
          </w:tcPr>
          <w:p>
            <w:r>
              <w:rPr>
                <w:sz w:val="17"/>
              </w:rPr>
              <w:t>Configuration Analyst, Claims — retiring platform</w:t>
            </w:r>
          </w:p>
        </w:tc>
        <w:tc>
          <w:tcPr>
            <w:tcW w:type="dxa" w:w="2412"/>
          </w:tcPr>
          <w:p>
            <w:r>
              <w:rPr>
                <w:sz w:val="17"/>
              </w:rPr>
              <w:t>⚠ RC-01. The claims edit inventory depends on this role. Released at core admin cutover + 60 days.</w:t>
            </w:r>
          </w:p>
        </w:tc>
      </w:tr>
      <w:tr>
        <w:tc>
          <w:tcPr>
            <w:tcW w:type="dxa" w:w="2412"/>
          </w:tcPr>
          <w:p>
            <w:r>
              <w:rPr>
                <w:sz w:val="17"/>
              </w:rPr>
              <w:t>A</w:t>
            </w:r>
          </w:p>
        </w:tc>
        <w:tc>
          <w:tcPr>
            <w:tcW w:type="dxa" w:w="2412"/>
          </w:tcPr>
          <w:p>
            <w:r>
              <w:rPr>
                <w:sz w:val="17"/>
              </w:rPr>
              <w:t>C. Bhattacharya</w:t>
            </w:r>
          </w:p>
        </w:tc>
        <w:tc>
          <w:tcPr>
            <w:tcW w:type="dxa" w:w="2412"/>
          </w:tcPr>
          <w:p>
            <w:r>
              <w:rPr>
                <w:sz w:val="17"/>
              </w:rPr>
              <w:t>Manager, Member Data</w:t>
            </w:r>
          </w:p>
        </w:tc>
        <w:tc>
          <w:tcPr>
            <w:tcW w:type="dxa" w:w="2412"/>
          </w:tcPr>
          <w:p>
            <w:r>
              <w:rPr>
                <w:sz w:val="17"/>
              </w:rPr>
              <w:t>⚠ RC-01. Single point of knowledge for the target's member data structures. Released at TSA exit.</w:t>
            </w:r>
          </w:p>
        </w:tc>
      </w:tr>
      <w:tr>
        <w:tc>
          <w:tcPr>
            <w:tcW w:type="dxa" w:w="2412"/>
          </w:tcPr>
          <w:p>
            <w:r>
              <w:rPr>
                <w:sz w:val="17"/>
              </w:rPr>
              <w:t>A</w:t>
            </w:r>
          </w:p>
        </w:tc>
        <w:tc>
          <w:tcPr>
            <w:tcW w:type="dxa" w:w="2412"/>
          </w:tcPr>
          <w:p>
            <w:r>
              <w:rPr>
                <w:sz w:val="17"/>
              </w:rPr>
              <w:t>D. Okpara</w:t>
            </w:r>
          </w:p>
        </w:tc>
        <w:tc>
          <w:tcPr>
            <w:tcW w:type="dxa" w:w="2412"/>
          </w:tcPr>
          <w:p>
            <w:r>
              <w:rPr>
                <w:sz w:val="17"/>
              </w:rPr>
              <w:t>Manager, Claims Configuration</w:t>
            </w:r>
          </w:p>
        </w:tc>
        <w:tc>
          <w:tcPr>
            <w:tcW w:type="dxa" w:w="2412"/>
          </w:tcPr>
          <w:p>
            <w:r>
              <w:rPr>
                <w:sz w:val="17"/>
              </w:rPr>
              <w:t>RC-01, RC-04. Released at core admin cutover + 60 days.</w:t>
            </w:r>
          </w:p>
        </w:tc>
      </w:tr>
      <w:tr>
        <w:tc>
          <w:tcPr>
            <w:tcW w:type="dxa" w:w="2412"/>
          </w:tcPr>
          <w:p>
            <w:r>
              <w:rPr>
                <w:sz w:val="17"/>
              </w:rPr>
              <w:t>A</w:t>
            </w:r>
          </w:p>
        </w:tc>
        <w:tc>
          <w:tcPr>
            <w:tcW w:type="dxa" w:w="2412"/>
          </w:tcPr>
          <w:p>
            <w:r>
              <w:rPr>
                <w:sz w:val="17"/>
              </w:rPr>
              <w:t>J. Amonett</w:t>
            </w:r>
          </w:p>
        </w:tc>
        <w:tc>
          <w:tcPr>
            <w:tcW w:type="dxa" w:w="2412"/>
          </w:tcPr>
          <w:p>
            <w:r>
              <w:rPr>
                <w:sz w:val="17"/>
              </w:rPr>
              <w:t>Manager, Interfaces</w:t>
            </w:r>
          </w:p>
        </w:tc>
        <w:tc>
          <w:tcPr>
            <w:tcW w:type="dxa" w:w="2412"/>
          </w:tcPr>
          <w:p>
            <w:r>
              <w:rPr>
                <w:sz w:val="17"/>
              </w:rPr>
              <w:t>RC-01. Write-back and accumulator interfaces. Released at cutover.</w:t>
            </w:r>
          </w:p>
        </w:tc>
      </w:tr>
      <w:tr>
        <w:tc>
          <w:tcPr>
            <w:tcW w:type="dxa" w:w="2412"/>
          </w:tcPr>
          <w:p>
            <w:r>
              <w:rPr>
                <w:sz w:val="17"/>
              </w:rPr>
              <w:t>A</w:t>
            </w:r>
          </w:p>
        </w:tc>
        <w:tc>
          <w:tcPr>
            <w:tcW w:type="dxa" w:w="2412"/>
          </w:tcPr>
          <w:p>
            <w:r>
              <w:rPr>
                <w:sz w:val="17"/>
              </w:rPr>
              <w:t>G. Whitmire</w:t>
            </w:r>
          </w:p>
        </w:tc>
        <w:tc>
          <w:tcPr>
            <w:tcW w:type="dxa" w:w="2412"/>
          </w:tcPr>
          <w:p>
            <w:r>
              <w:rPr>
                <w:sz w:val="17"/>
              </w:rPr>
              <w:t>Director, IT Operations</w:t>
            </w:r>
          </w:p>
        </w:tc>
        <w:tc>
          <w:tcPr>
            <w:tcW w:type="dxa" w:w="2412"/>
          </w:tcPr>
          <w:p>
            <w:r>
              <w:rPr>
                <w:sz w:val="17"/>
              </w:rPr>
              <w:t>RC-01, RC-04. Data center and TSA exit certification. Released at TSA exit.</w:t>
            </w:r>
          </w:p>
        </w:tc>
      </w:tr>
      <w:tr>
        <w:tc>
          <w:tcPr>
            <w:tcW w:type="dxa" w:w="2412"/>
          </w:tcPr>
          <w:p>
            <w:r>
              <w:rPr>
                <w:sz w:val="17"/>
              </w:rPr>
              <w:t>A</w:t>
            </w:r>
          </w:p>
        </w:tc>
        <w:tc>
          <w:tcPr>
            <w:tcW w:type="dxa" w:w="2412"/>
          </w:tcPr>
          <w:p>
            <w:r>
              <w:rPr>
                <w:sz w:val="17"/>
              </w:rPr>
              <w:t>Dr. P. Nwachukwu</w:t>
            </w:r>
          </w:p>
        </w:tc>
        <w:tc>
          <w:tcPr>
            <w:tcW w:type="dxa" w:w="2412"/>
          </w:tcPr>
          <w:p>
            <w:r>
              <w:rPr>
                <w:sz w:val="17"/>
              </w:rPr>
              <w:t>VP Care Management</w:t>
            </w:r>
          </w:p>
        </w:tc>
        <w:tc>
          <w:tcPr>
            <w:tcW w:type="dxa" w:w="2412"/>
          </w:tcPr>
          <w:p>
            <w:r>
              <w:rPr>
                <w:sz w:val="17"/>
              </w:rPr>
              <w:t>⚠ RC-05. Preserved capability — release is indefinite, not dated.</w:t>
            </w:r>
          </w:p>
        </w:tc>
      </w:tr>
      <w:tr>
        <w:tc>
          <w:tcPr>
            <w:tcW w:type="dxa" w:w="2412"/>
          </w:tcPr>
          <w:p>
            <w:r>
              <w:rPr>
                <w:sz w:val="17"/>
              </w:rPr>
              <w:t>A</w:t>
            </w:r>
          </w:p>
        </w:tc>
        <w:tc>
          <w:tcPr>
            <w:tcW w:type="dxa" w:w="2412"/>
          </w:tcPr>
          <w:p>
            <w:r>
              <w:rPr>
                <w:sz w:val="17"/>
              </w:rPr>
              <w:t>A. Boudreaux</w:t>
            </w:r>
          </w:p>
        </w:tc>
        <w:tc>
          <w:tcPr>
            <w:tcW w:type="dxa" w:w="2412"/>
          </w:tcPr>
          <w:p>
            <w:r>
              <w:rPr>
                <w:sz w:val="17"/>
              </w:rPr>
              <w:t>Director, Provider Contracting</w:t>
            </w:r>
          </w:p>
        </w:tc>
        <w:tc>
          <w:tcPr>
            <w:tcW w:type="dxa" w:w="2412"/>
          </w:tcPr>
          <w:p>
            <w:r>
              <w:rPr>
                <w:sz w:val="17"/>
              </w:rPr>
              <w:t>RC-02. Provider relationships and contract history. Released at network rationalization completion.</w:t>
            </w:r>
          </w:p>
        </w:tc>
      </w:tr>
      <w:tr>
        <w:tc>
          <w:tcPr>
            <w:tcW w:type="dxa" w:w="2412"/>
          </w:tcPr>
          <w:p>
            <w:r>
              <w:rPr>
                <w:sz w:val="17"/>
              </w:rPr>
              <w:t>A</w:t>
            </w:r>
          </w:p>
        </w:tc>
        <w:tc>
          <w:tcPr>
            <w:tcW w:type="dxa" w:w="2412"/>
          </w:tcPr>
          <w:p>
            <w:r>
              <w:rPr>
                <w:sz w:val="17"/>
              </w:rPr>
              <w:t>D. Halloran</w:t>
            </w:r>
          </w:p>
        </w:tc>
        <w:tc>
          <w:tcPr>
            <w:tcW w:type="dxa" w:w="2412"/>
          </w:tcPr>
          <w:p>
            <w:r>
              <w:rPr>
                <w:sz w:val="17"/>
              </w:rPr>
              <w:t>Business Analyst — enrollment &amp; eligibility</w:t>
            </w:r>
          </w:p>
        </w:tc>
        <w:tc>
          <w:tcPr>
            <w:tcW w:type="dxa" w:w="2412"/>
          </w:tcPr>
          <w:p>
            <w:r>
              <w:rPr>
                <w:sz w:val="17"/>
              </w:rPr>
              <w:t>RC-01. Group and eligibility structures. Released at cutover.</w:t>
            </w:r>
          </w:p>
        </w:tc>
      </w:tr>
      <w:tr>
        <w:tc>
          <w:tcPr>
            <w:tcW w:type="dxa" w:w="2412"/>
          </w:tcPr>
          <w:p>
            <w:r>
              <w:rPr>
                <w:sz w:val="17"/>
              </w:rPr>
              <w:t>B</w:t>
            </w:r>
          </w:p>
        </w:tc>
        <w:tc>
          <w:tcPr>
            <w:tcW w:type="dxa" w:w="2412"/>
          </w:tcPr>
          <w:p>
            <w:r>
              <w:rPr>
                <w:sz w:val="17"/>
              </w:rPr>
              <w:t>R. Lattimore</w:t>
            </w:r>
          </w:p>
        </w:tc>
        <w:tc>
          <w:tcPr>
            <w:tcW w:type="dxa" w:w="2412"/>
          </w:tcPr>
          <w:p>
            <w:r>
              <w:rPr>
                <w:sz w:val="17"/>
              </w:rPr>
              <w:t>VP Claims — counterpart</w:t>
            </w:r>
          </w:p>
        </w:tc>
        <w:tc>
          <w:tcPr>
            <w:tcW w:type="dxa" w:w="2412"/>
          </w:tcPr>
          <w:p>
            <w:r>
              <w:rPr>
                <w:sz w:val="17"/>
              </w:rPr>
              <w:t>RC-04. Signs the equivalence acceptance. Released at cutover + 90 days.</w:t>
            </w:r>
          </w:p>
        </w:tc>
      </w:tr>
      <w:tr>
        <w:tc>
          <w:tcPr>
            <w:tcW w:type="dxa" w:w="2412"/>
          </w:tcPr>
          <w:p>
            <w:r>
              <w:rPr>
                <w:sz w:val="17"/>
              </w:rPr>
              <w:t>B</w:t>
            </w:r>
          </w:p>
        </w:tc>
        <w:tc>
          <w:tcPr>
            <w:tcW w:type="dxa" w:w="2412"/>
          </w:tcPr>
          <w:p>
            <w:r>
              <w:rPr>
                <w:sz w:val="17"/>
              </w:rPr>
              <w:t>C. Adeyemi</w:t>
            </w:r>
          </w:p>
        </w:tc>
        <w:tc>
          <w:tcPr>
            <w:tcW w:type="dxa" w:w="2412"/>
          </w:tcPr>
          <w:p>
            <w:r>
              <w:rPr>
                <w:sz w:val="17"/>
              </w:rPr>
              <w:t>Chief Actuary</w:t>
            </w:r>
          </w:p>
        </w:tc>
        <w:tc>
          <w:tcPr>
            <w:tcW w:type="dxa" w:w="2412"/>
          </w:tcPr>
          <w:p>
            <w:r>
              <w:rPr>
                <w:sz w:val="17"/>
              </w:rPr>
              <w:t>⚠ RC-03. Named in filings; owns the measure definitions in BRD-04. Released after the first combined filing cycle.</w:t>
            </w:r>
          </w:p>
        </w:tc>
      </w:tr>
      <w:tr>
        <w:tc>
          <w:tcPr>
            <w:tcW w:type="dxa" w:w="2412"/>
          </w:tcPr>
          <w:p>
            <w:r>
              <w:rPr>
                <w:sz w:val="17"/>
              </w:rPr>
              <w:t>B</w:t>
            </w:r>
          </w:p>
        </w:tc>
        <w:tc>
          <w:tcPr>
            <w:tcW w:type="dxa" w:w="2412"/>
          </w:tcPr>
          <w:p>
            <w:r>
              <w:rPr>
                <w:sz w:val="17"/>
              </w:rPr>
              <w:t>M. Sheffield</w:t>
            </w:r>
          </w:p>
        </w:tc>
        <w:tc>
          <w:tcPr>
            <w:tcW w:type="dxa" w:w="2412"/>
          </w:tcPr>
          <w:p>
            <w:r>
              <w:rPr>
                <w:sz w:val="17"/>
              </w:rPr>
              <w:t>General Counsel</w:t>
            </w:r>
          </w:p>
        </w:tc>
        <w:tc>
          <w:tcPr>
            <w:tcW w:type="dxa" w:w="2412"/>
          </w:tcPr>
          <w:p>
            <w:r>
              <w:rPr>
                <w:sz w:val="17"/>
              </w:rPr>
              <w:t>RC-02, RC-03. Regulatory relationships and legal entity work. Released at entity consolidation.</w:t>
            </w:r>
          </w:p>
        </w:tc>
      </w:tr>
      <w:tr>
        <w:tc>
          <w:tcPr>
            <w:tcW w:type="dxa" w:w="2412"/>
          </w:tcPr>
          <w:p>
            <w:r>
              <w:rPr>
                <w:sz w:val="17"/>
              </w:rPr>
              <w:t>B</w:t>
            </w:r>
          </w:p>
        </w:tc>
        <w:tc>
          <w:tcPr>
            <w:tcW w:type="dxa" w:w="2412"/>
          </w:tcPr>
          <w:p>
            <w:r>
              <w:rPr>
                <w:sz w:val="17"/>
              </w:rPr>
              <w:t>J. Ferrandino</w:t>
            </w:r>
          </w:p>
        </w:tc>
        <w:tc>
          <w:tcPr>
            <w:tcW w:type="dxa" w:w="2412"/>
          </w:tcPr>
          <w:p>
            <w:r>
              <w:rPr>
                <w:sz w:val="17"/>
              </w:rPr>
              <w:t>Compliance Director</w:t>
            </w:r>
          </w:p>
        </w:tc>
        <w:tc>
          <w:tcPr>
            <w:tcW w:type="dxa" w:w="2412"/>
          </w:tcPr>
          <w:p>
            <w:r>
              <w:rPr>
                <w:sz w:val="17"/>
              </w:rPr>
              <w:t>RC-03. Open regulatory matters. Released at their closure.</w:t>
            </w:r>
          </w:p>
        </w:tc>
      </w:tr>
      <w:tr>
        <w:tc>
          <w:tcPr>
            <w:tcW w:type="dxa" w:w="2412"/>
          </w:tcPr>
          <w:p>
            <w:r>
              <w:rPr>
                <w:sz w:val="17"/>
              </w:rPr>
              <w:t>B</w:t>
            </w:r>
          </w:p>
        </w:tc>
        <w:tc>
          <w:tcPr>
            <w:tcW w:type="dxa" w:w="2412"/>
          </w:tcPr>
          <w:p>
            <w:r>
              <w:rPr>
                <w:sz w:val="17"/>
              </w:rPr>
              <w:t>N. Applewhite</w:t>
            </w:r>
          </w:p>
        </w:tc>
        <w:tc>
          <w:tcPr>
            <w:tcW w:type="dxa" w:w="2412"/>
          </w:tcPr>
          <w:p>
            <w:r>
              <w:rPr>
                <w:sz w:val="17"/>
              </w:rPr>
              <w:t>Controller</w:t>
            </w:r>
          </w:p>
        </w:tc>
        <w:tc>
          <w:tcPr>
            <w:tcW w:type="dxa" w:w="2412"/>
          </w:tcPr>
          <w:p>
            <w:r>
              <w:rPr>
                <w:sz w:val="17"/>
              </w:rPr>
              <w:t>RC-01, RC-04. General ledger TSA exit. Released at that exit.</w:t>
            </w:r>
          </w:p>
        </w:tc>
      </w:tr>
      <w:tr>
        <w:tc>
          <w:tcPr>
            <w:tcW w:type="dxa" w:w="2412"/>
          </w:tcPr>
          <w:p>
            <w:r>
              <w:rPr>
                <w:sz w:val="17"/>
              </w:rPr>
              <w:t>B</w:t>
            </w:r>
          </w:p>
        </w:tc>
        <w:tc>
          <w:tcPr>
            <w:tcW w:type="dxa" w:w="2412"/>
          </w:tcPr>
          <w:p>
            <w:r>
              <w:rPr>
                <w:sz w:val="17"/>
              </w:rPr>
              <w:t>D. Achterberg</w:t>
            </w:r>
          </w:p>
        </w:tc>
        <w:tc>
          <w:tcPr>
            <w:tcW w:type="dxa" w:w="2412"/>
          </w:tcPr>
          <w:p>
            <w:r>
              <w:rPr>
                <w:sz w:val="17"/>
              </w:rPr>
              <w:t>Director, Vendor Management</w:t>
            </w:r>
          </w:p>
        </w:tc>
        <w:tc>
          <w:tcPr>
            <w:tcW w:type="dxa" w:w="2412"/>
          </w:tcPr>
          <w:p>
            <w:r>
              <w:rPr>
                <w:sz w:val="17"/>
              </w:rPr>
              <w:t>RC-02. Inherited contract history. Released at vendor consolidation.</w:t>
            </w:r>
          </w:p>
        </w:tc>
      </w:tr>
      <w:tr>
        <w:tc>
          <w:tcPr>
            <w:tcW w:type="dxa" w:w="2412"/>
          </w:tcPr>
          <w:p>
            <w:r>
              <w:rPr>
                <w:sz w:val="17"/>
              </w:rPr>
              <w:t>C</w:t>
            </w:r>
          </w:p>
        </w:tc>
        <w:tc>
          <w:tcPr>
            <w:tcW w:type="dxa" w:w="2412"/>
          </w:tcPr>
          <w:p>
            <w:r>
              <w:rPr>
                <w:sz w:val="17"/>
              </w:rPr>
              <w:t>C. Hollifield</w:t>
            </w:r>
          </w:p>
        </w:tc>
        <w:tc>
          <w:tcPr>
            <w:tcW w:type="dxa" w:w="2412"/>
          </w:tcPr>
          <w:p>
            <w:r>
              <w:rPr>
                <w:sz w:val="17"/>
              </w:rPr>
              <w:t>Director, Member Services</w:t>
            </w:r>
          </w:p>
        </w:tc>
        <w:tc>
          <w:tcPr>
            <w:tcW w:type="dxa" w:w="2412"/>
          </w:tcPr>
          <w:p>
            <w:r>
              <w:rPr>
                <w:sz w:val="17"/>
              </w:rPr>
              <w:t>RC-04. Coexistence to Day 100. Released at the Day 100 decision.</w:t>
            </w:r>
          </w:p>
        </w:tc>
      </w:tr>
      <w:tr>
        <w:tc>
          <w:tcPr>
            <w:tcW w:type="dxa" w:w="2412"/>
          </w:tcPr>
          <w:p>
            <w:r>
              <w:rPr>
                <w:sz w:val="17"/>
              </w:rPr>
              <w:t>C</w:t>
            </w:r>
          </w:p>
        </w:tc>
        <w:tc>
          <w:tcPr>
            <w:tcW w:type="dxa" w:w="2412"/>
          </w:tcPr>
          <w:p>
            <w:r>
              <w:rPr>
                <w:sz w:val="17"/>
              </w:rPr>
              <w:t>M. Kessinger</w:t>
            </w:r>
          </w:p>
        </w:tc>
        <w:tc>
          <w:tcPr>
            <w:tcW w:type="dxa" w:w="2412"/>
          </w:tcPr>
          <w:p>
            <w:r>
              <w:rPr>
                <w:sz w:val="17"/>
              </w:rPr>
              <w:t>President &amp; CEO</w:t>
            </w:r>
          </w:p>
        </w:tc>
        <w:tc>
          <w:tcPr>
            <w:tcW w:type="dxa" w:w="2412"/>
          </w:tcPr>
          <w:p>
            <w:r>
              <w:rPr>
                <w:sz w:val="17"/>
              </w:rPr>
              <w:t>⚠ RC-02. Employer, broker and regulator relationships through the transition. Released at Day 100.</w:t>
            </w:r>
          </w:p>
        </w:tc>
      </w:tr>
    </w:tbl>
    <w:p/>
    <w:p>
      <w:pPr>
        <w:spacing w:before="320"/>
      </w:pPr>
      <w:r>
        <w:rPr>
          <w:b/>
          <w:color w:val="12304A"/>
          <w:sz w:val="28"/>
        </w:rPr>
        <w:t>4. The Asymmetry</w:t>
      </w:r>
    </w:p>
    <w:p>
      <w:pPr>
        <w:spacing w:before="120"/>
        <w:ind w:left="360"/>
      </w:pPr>
      <w:r>
        <w:rPr>
          <w:i/>
          <w:color w:val="12304A"/>
          <w:sz w:val="20"/>
        </w:rPr>
        <w:t>All sixteen are at Cumberland Valley, and that is not an oversight to be corrected — it is the shape of the problem. Retention risk sits where the undocumented knowledge is, and the undocumented knowledge is at the company being absorbed. The same people whose systems the program depends on are the people whose futures the program is deciding, and they know it before anyone tells them. ⚠ They also have the strongest market position of anyone involved: a claims configuration analyst who has just been through an acquisition is exactly who a competitor wants to hire.</w:t>
      </w:r>
    </w:p>
    <w:p>
      <w:pPr>
        <w:spacing w:before="120"/>
        <w:ind w:left="360"/>
      </w:pPr>
      <w:r>
        <w:rPr>
          <w:i/>
          <w:color w:val="12304A"/>
          <w:sz w:val="20"/>
        </w:rPr>
        <w:t>So the program depends for twelve to fifteen months on people it cannot offer twelve to fifteen months of certainty to. Retention payments do not resolve that. They buy time against it — which is why §7 spends that time on transfer rather than on continuity.</w:t>
      </w:r>
    </w:p>
    <w:p>
      <w:pPr>
        <w:spacing w:before="320"/>
      </w:pPr>
      <w:r>
        <w:rPr>
          <w:b/>
          <w:color w:val="12304A"/>
          <w:sz w:val="28"/>
        </w:rPr>
        <w:t>5. Instrument Design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Element</w:t>
            </w:r>
          </w:p>
        </w:tc>
        <w:tc>
          <w:tcPr>
            <w:tcW w:type="dxa" w:w="3216"/>
          </w:tcPr>
          <w:p>
            <w:r>
              <w:rPr>
                <w:b/>
                <w:sz w:val="17"/>
              </w:rPr>
              <w:t>Provision</w:t>
            </w:r>
          </w:p>
        </w:tc>
      </w:tr>
      <w:tr>
        <w:tc>
          <w:tcPr>
            <w:tcW w:type="dxa" w:w="3216"/>
          </w:tcPr>
          <w:p>
            <w:r>
              <w:rPr>
                <w:sz w:val="17"/>
              </w:rPr>
              <w:t>RI-01</w:t>
            </w:r>
          </w:p>
        </w:tc>
        <w:tc>
          <w:tcPr>
            <w:tcW w:type="dxa" w:w="3216"/>
          </w:tcPr>
          <w:p>
            <w:r>
              <w:rPr>
                <w:sz w:val="17"/>
              </w:rPr>
              <w:t>Form</w:t>
            </w:r>
          </w:p>
        </w:tc>
        <w:tc>
          <w:tcPr>
            <w:tcW w:type="dxa" w:w="3216"/>
          </w:tcPr>
          <w:p>
            <w:r>
              <w:rPr>
                <w:sz w:val="17"/>
              </w:rPr>
              <w:t>Cash retention agreement, separate from severance entitlement. ⚠ Accepting retention does not waive severance.</w:t>
            </w:r>
          </w:p>
        </w:tc>
      </w:tr>
      <w:tr>
        <w:tc>
          <w:tcPr>
            <w:tcW w:type="dxa" w:w="3216"/>
          </w:tcPr>
          <w:p>
            <w:r>
              <w:rPr>
                <w:sz w:val="17"/>
              </w:rPr>
              <w:t>RI-02</w:t>
            </w:r>
          </w:p>
        </w:tc>
        <w:tc>
          <w:tcPr>
            <w:tcW w:type="dxa" w:w="3216"/>
          </w:tcPr>
          <w:p>
            <w:r>
              <w:rPr>
                <w:sz w:val="17"/>
              </w:rPr>
              <w:t>Tranche payment, not a single cliff</w:t>
            </w:r>
          </w:p>
        </w:tc>
        <w:tc>
          <w:tcPr>
            <w:tcW w:type="dxa" w:w="3216"/>
          </w:tcPr>
          <w:p>
            <w:r>
              <w:rPr>
                <w:sz w:val="17"/>
              </w:rPr>
              <w:t>⚠ Paid in installments across the retention period. A single cliff creates one date on which the program's most knowledgeable people all become free to leave.</w:t>
            </w:r>
          </w:p>
        </w:tc>
      </w:tr>
      <w:tr>
        <w:tc>
          <w:tcPr>
            <w:tcW w:type="dxa" w:w="3216"/>
          </w:tcPr>
          <w:p>
            <w:r>
              <w:rPr>
                <w:sz w:val="17"/>
              </w:rPr>
              <w:t>RI-03</w:t>
            </w:r>
          </w:p>
        </w:tc>
        <w:tc>
          <w:tcPr>
            <w:tcW w:type="dxa" w:w="3216"/>
          </w:tcPr>
          <w:p>
            <w:r>
              <w:rPr>
                <w:sz w:val="17"/>
              </w:rPr>
              <w:t>Release date stated</w:t>
            </w:r>
          </w:p>
        </w:tc>
        <w:tc>
          <w:tcPr>
            <w:tcW w:type="dxa" w:w="3216"/>
          </w:tcPr>
          <w:p>
            <w:r>
              <w:rPr>
                <w:sz w:val="17"/>
              </w:rPr>
              <w:t>The agreement names the date, so the person is not guessing</w:t>
            </w:r>
          </w:p>
        </w:tc>
      </w:tr>
      <w:tr>
        <w:tc>
          <w:tcPr>
            <w:tcW w:type="dxa" w:w="3216"/>
          </w:tcPr>
          <w:p>
            <w:r>
              <w:rPr>
                <w:sz w:val="17"/>
              </w:rPr>
              <w:t>RI-04</w:t>
            </w:r>
          </w:p>
        </w:tc>
        <w:tc>
          <w:tcPr>
            <w:tcW w:type="dxa" w:w="3216"/>
          </w:tcPr>
          <w:p>
            <w:r>
              <w:rPr>
                <w:sz w:val="17"/>
              </w:rPr>
              <w:t>Transfer obligation attached</w:t>
            </w:r>
          </w:p>
        </w:tc>
        <w:tc>
          <w:tcPr>
            <w:tcW w:type="dxa" w:w="3216"/>
          </w:tcPr>
          <w:p>
            <w:r>
              <w:rPr>
                <w:sz w:val="17"/>
              </w:rPr>
              <w:t>⚠ Payment is conditional on knowledge transfer being accepted, not merely delivered. See §7.</w:t>
            </w:r>
          </w:p>
        </w:tc>
      </w:tr>
      <w:tr>
        <w:tc>
          <w:tcPr>
            <w:tcW w:type="dxa" w:w="3216"/>
          </w:tcPr>
          <w:p>
            <w:r>
              <w:rPr>
                <w:sz w:val="17"/>
              </w:rPr>
              <w:t>RI-05</w:t>
            </w:r>
          </w:p>
        </w:tc>
        <w:tc>
          <w:tcPr>
            <w:tcW w:type="dxa" w:w="3216"/>
          </w:tcPr>
          <w:p>
            <w:r>
              <w:rPr>
                <w:sz w:val="17"/>
              </w:rPr>
              <w:t>Payable on involuntary release</w:t>
            </w:r>
          </w:p>
        </w:tc>
        <w:tc>
          <w:tcPr>
            <w:tcW w:type="dxa" w:w="3216"/>
          </w:tcPr>
          <w:p>
            <w:r>
              <w:rPr>
                <w:sz w:val="17"/>
              </w:rPr>
              <w:t>⚠ If the program releases someone early, the balance is paid. Otherwise the incentive is to look busy.</w:t>
            </w:r>
          </w:p>
        </w:tc>
      </w:tr>
      <w:tr>
        <w:tc>
          <w:tcPr>
            <w:tcW w:type="dxa" w:w="3216"/>
          </w:tcPr>
          <w:p>
            <w:r>
              <w:rPr>
                <w:sz w:val="17"/>
              </w:rPr>
              <w:t>RI-06</w:t>
            </w:r>
          </w:p>
        </w:tc>
        <w:tc>
          <w:tcPr>
            <w:tcW w:type="dxa" w:w="3216"/>
          </w:tcPr>
          <w:p>
            <w:r>
              <w:rPr>
                <w:sz w:val="17"/>
              </w:rPr>
              <w:t>Not payable on resignation</w:t>
            </w:r>
          </w:p>
        </w:tc>
        <w:tc>
          <w:tcPr>
            <w:tcW w:type="dxa" w:w="3216"/>
          </w:tcPr>
          <w:p>
            <w:r>
              <w:rPr>
                <w:sz w:val="17"/>
              </w:rPr>
              <w:t>Standard, and stated plainly at offer</w:t>
            </w:r>
          </w:p>
        </w:tc>
      </w:tr>
      <w:tr>
        <w:tc>
          <w:tcPr>
            <w:tcW w:type="dxa" w:w="3216"/>
          </w:tcPr>
          <w:p>
            <w:r>
              <w:rPr>
                <w:sz w:val="17"/>
              </w:rPr>
              <w:t>RI-07</w:t>
            </w:r>
          </w:p>
        </w:tc>
        <w:tc>
          <w:tcPr>
            <w:tcW w:type="dxa" w:w="3216"/>
          </w:tcPr>
          <w:p>
            <w:r>
              <w:rPr>
                <w:sz w:val="17"/>
              </w:rPr>
              <w:t>Amount set on exposure, not on level</w:t>
            </w:r>
          </w:p>
        </w:tc>
        <w:tc>
          <w:tcPr>
            <w:tcW w:type="dxa" w:w="3216"/>
          </w:tcPr>
          <w:p>
            <w:r>
              <w:rPr>
                <w:sz w:val="17"/>
              </w:rPr>
              <w:t>⚠ Calibrated to what losing the role would cost the program, not to the person's grade</w:t>
            </w:r>
          </w:p>
        </w:tc>
      </w:tr>
      <w:tr>
        <w:tc>
          <w:tcPr>
            <w:tcW w:type="dxa" w:w="3216"/>
          </w:tcPr>
          <w:p>
            <w:r>
              <w:rPr>
                <w:sz w:val="17"/>
              </w:rPr>
              <w:t>RI-08</w:t>
            </w:r>
          </w:p>
        </w:tc>
        <w:tc>
          <w:tcPr>
            <w:tcW w:type="dxa" w:w="3216"/>
          </w:tcPr>
          <w:p>
            <w:r>
              <w:rPr>
                <w:sz w:val="17"/>
              </w:rPr>
              <w:t>Funded by Human Resources</w:t>
            </w:r>
          </w:p>
        </w:tc>
        <w:tc>
          <w:tcPr>
            <w:tcW w:type="dxa" w:w="3216"/>
          </w:tcPr>
          <w:p>
            <w:r>
              <w:rPr>
                <w:sz w:val="17"/>
              </w:rPr>
              <w:t>⚠ The program identifies the roles; it does not price them. Cost sits outside the program budget.</w:t>
            </w:r>
          </w:p>
        </w:tc>
      </w:tr>
    </w:tbl>
    <w:p/>
    <w:p>
      <w:pPr>
        <w:spacing w:before="120"/>
        <w:ind w:left="360"/>
      </w:pPr>
      <w:r>
        <w:rPr>
          <w:i/>
          <w:color w:val="12304A"/>
          <w:sz w:val="20"/>
        </w:rPr>
        <w:t>RI-02 is the design decision most often got wrong, and its failure mode is a date rather than a person. A single lump sum at TSA exit is simpler to administer and creates exactly one problem: everyone whose knowledge the program depends on becomes free on the same morning, immediately after the milestone that proves they are no longer essential. Tranches spread that, and more usefully they give the program repeated moments where a departure is visible early rather than at the end. ⚠ RI-05 matters for the same reason in reverse — if the balance is forfeited on early release, a covered person has an incentive to appear indispensable rather than to make themselves replaceable, which is the opposite of what §7 is asking of them.</w:t>
      </w:r>
    </w:p>
    <w:p>
      <w:pPr>
        <w:spacing w:before="320"/>
      </w:pPr>
      <w:r>
        <w:rPr>
          <w:b/>
          <w:color w:val="12304A"/>
          <w:sz w:val="28"/>
        </w:rPr>
        <w:t>6. What Retention Does Not Buy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Not bought</w:t>
            </w:r>
          </w:p>
        </w:tc>
        <w:tc>
          <w:tcPr>
            <w:tcW w:type="dxa" w:w="4824"/>
          </w:tcPr>
          <w:p>
            <w:r>
              <w:rPr>
                <w:b/>
                <w:sz w:val="17"/>
              </w:rPr>
              <w:t>Consequence and response</w:t>
            </w:r>
          </w:p>
        </w:tc>
      </w:tr>
      <w:tr>
        <w:tc>
          <w:tcPr>
            <w:tcW w:type="dxa" w:w="4824"/>
          </w:tcPr>
          <w:p>
            <w:r>
              <w:rPr>
                <w:sz w:val="17"/>
              </w:rPr>
              <w:t>Engagement</w:t>
            </w:r>
          </w:p>
        </w:tc>
        <w:tc>
          <w:tcPr>
            <w:tcW w:type="dxa" w:w="4824"/>
          </w:tcPr>
          <w:p>
            <w:r>
              <w:rPr>
                <w:sz w:val="17"/>
              </w:rPr>
              <w:t>⚠ A retained person can be present and disengaged. Transfer acceptance in §7 measures output, not attendance.</w:t>
            </w:r>
          </w:p>
        </w:tc>
      </w:tr>
      <w:tr>
        <w:tc>
          <w:tcPr>
            <w:tcW w:type="dxa" w:w="4824"/>
          </w:tcPr>
          <w:p>
            <w:r>
              <w:rPr>
                <w:sz w:val="17"/>
              </w:rPr>
              <w:t>Discretionary effort</w:t>
            </w:r>
          </w:p>
        </w:tc>
        <w:tc>
          <w:tcPr>
            <w:tcW w:type="dxa" w:w="4824"/>
          </w:tcPr>
          <w:p>
            <w:r>
              <w:rPr>
                <w:sz w:val="17"/>
              </w:rPr>
              <w:t>Retention holds a floor. Anything above it comes from how people are treated — see §8.</w:t>
            </w:r>
          </w:p>
        </w:tc>
      </w:tr>
      <w:tr>
        <w:tc>
          <w:tcPr>
            <w:tcW w:type="dxa" w:w="4824"/>
          </w:tcPr>
          <w:p>
            <w:r>
              <w:rPr>
                <w:sz w:val="17"/>
              </w:rPr>
              <w:t>Loyalty after release</w:t>
            </w:r>
          </w:p>
        </w:tc>
        <w:tc>
          <w:tcPr>
            <w:tcW w:type="dxa" w:w="4824"/>
          </w:tcPr>
          <w:p>
            <w:r>
              <w:rPr>
                <w:sz w:val="17"/>
              </w:rPr>
              <w:t>⚠ These are people who will leave. The plan assumes it rather than hoping otherwise.</w:t>
            </w:r>
          </w:p>
        </w:tc>
      </w:tr>
      <w:tr>
        <w:tc>
          <w:tcPr>
            <w:tcW w:type="dxa" w:w="4824"/>
          </w:tcPr>
          <w:p>
            <w:r>
              <w:rPr>
                <w:sz w:val="17"/>
              </w:rPr>
              <w:t>Knowledge, by itself</w:t>
            </w:r>
          </w:p>
        </w:tc>
        <w:tc>
          <w:tcPr>
            <w:tcW w:type="dxa" w:w="4824"/>
          </w:tcPr>
          <w:p>
            <w:r>
              <w:rPr>
                <w:sz w:val="17"/>
              </w:rPr>
              <w:t>Retention buys access to knowledge. Transfer extracts it. Without §7 the payment funds a longer goodbye.</w:t>
            </w:r>
          </w:p>
        </w:tc>
      </w:tr>
      <w:tr>
        <w:tc>
          <w:tcPr>
            <w:tcW w:type="dxa" w:w="4824"/>
          </w:tcPr>
          <w:p>
            <w:r>
              <w:rPr>
                <w:sz w:val="17"/>
              </w:rPr>
              <w:t>Cover for the uncovered</w:t>
            </w:r>
          </w:p>
        </w:tc>
        <w:tc>
          <w:tcPr>
            <w:tcW w:type="dxa" w:w="4824"/>
          </w:tcPr>
          <w:p>
            <w:r>
              <w:rPr>
                <w:sz w:val="17"/>
              </w:rPr>
              <w:t>⚠ Naming sixteen people names everyone else. See §8.</w:t>
            </w:r>
          </w:p>
        </w:tc>
      </w:tr>
    </w:tbl>
    <w:p/>
    <w:p>
      <w:pPr>
        <w:spacing w:before="320"/>
      </w:pPr>
      <w:r>
        <w:rPr>
          <w:b/>
          <w:color w:val="12304A"/>
          <w:sz w:val="28"/>
        </w:rPr>
        <w:t>7. Knowledge Transfer Linkage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Requirement</w:t>
            </w:r>
          </w:p>
        </w:tc>
        <w:tc>
          <w:tcPr>
            <w:tcW w:type="dxa" w:w="3216"/>
          </w:tcPr>
          <w:p>
            <w:r>
              <w:rPr>
                <w:b/>
                <w:sz w:val="17"/>
              </w:rPr>
              <w:t>Detail</w:t>
            </w:r>
          </w:p>
        </w:tc>
      </w:tr>
      <w:tr>
        <w:tc>
          <w:tcPr>
            <w:tcW w:type="dxa" w:w="3216"/>
          </w:tcPr>
          <w:p>
            <w:r>
              <w:rPr>
                <w:sz w:val="17"/>
              </w:rPr>
              <w:t>KT-01</w:t>
            </w:r>
          </w:p>
        </w:tc>
        <w:tc>
          <w:tcPr>
            <w:tcW w:type="dxa" w:w="3216"/>
          </w:tcPr>
          <w:p>
            <w:r>
              <w:rPr>
                <w:sz w:val="17"/>
              </w:rPr>
              <w:t>Every covered role has a named receiver</w:t>
            </w:r>
          </w:p>
        </w:tc>
        <w:tc>
          <w:tcPr>
            <w:tcW w:type="dxa" w:w="3216"/>
          </w:tcPr>
          <w:p>
            <w:r>
              <w:rPr>
                <w:sz w:val="17"/>
              </w:rPr>
              <w:t>⚠ Named at offer, not later. A transfer obligation with no receiver is an aspiration.</w:t>
            </w:r>
          </w:p>
        </w:tc>
      </w:tr>
      <w:tr>
        <w:tc>
          <w:tcPr>
            <w:tcW w:type="dxa" w:w="3216"/>
          </w:tcPr>
          <w:p>
            <w:r>
              <w:rPr>
                <w:sz w:val="17"/>
              </w:rPr>
              <w:t>KT-02</w:t>
            </w:r>
          </w:p>
        </w:tc>
        <w:tc>
          <w:tcPr>
            <w:tcW w:type="dxa" w:w="3216"/>
          </w:tcPr>
          <w:p>
            <w:r>
              <w:rPr>
                <w:sz w:val="17"/>
              </w:rPr>
              <w:t>Transfer is a deliverable</w:t>
            </w:r>
          </w:p>
        </w:tc>
        <w:tc>
          <w:tcPr>
            <w:tcW w:type="dxa" w:w="3216"/>
          </w:tcPr>
          <w:p>
            <w:r>
              <w:rPr>
                <w:sz w:val="17"/>
              </w:rPr>
              <w:t>Scoped, scheduled and tracked like any other deliverable in the plan</w:t>
            </w:r>
          </w:p>
        </w:tc>
      </w:tr>
      <w:tr>
        <w:tc>
          <w:tcPr>
            <w:tcW w:type="dxa" w:w="3216"/>
          </w:tcPr>
          <w:p>
            <w:r>
              <w:rPr>
                <w:sz w:val="17"/>
              </w:rPr>
              <w:t>KT-03</w:t>
            </w:r>
          </w:p>
        </w:tc>
        <w:tc>
          <w:tcPr>
            <w:tcW w:type="dxa" w:w="3216"/>
          </w:tcPr>
          <w:p>
            <w:r>
              <w:rPr>
                <w:sz w:val="17"/>
              </w:rPr>
              <w:t>Acceptance is by reverse shadowing</w:t>
            </w:r>
          </w:p>
        </w:tc>
        <w:tc>
          <w:tcPr>
            <w:tcW w:type="dxa" w:w="3216"/>
          </w:tcPr>
          <w:p>
            <w:r>
              <w:rPr>
                <w:sz w:val="17"/>
              </w:rPr>
              <w:t>⚠ The receiver performs the work unaided while the incumbent observes. Not the other way round.</w:t>
            </w:r>
          </w:p>
        </w:tc>
      </w:tr>
      <w:tr>
        <w:tc>
          <w:tcPr>
            <w:tcW w:type="dxa" w:w="3216"/>
          </w:tcPr>
          <w:p>
            <w:r>
              <w:rPr>
                <w:sz w:val="17"/>
              </w:rPr>
              <w:t>KT-04</w:t>
            </w:r>
          </w:p>
        </w:tc>
        <w:tc>
          <w:tcPr>
            <w:tcW w:type="dxa" w:w="3216"/>
          </w:tcPr>
          <w:p>
            <w:r>
              <w:rPr>
                <w:sz w:val="17"/>
              </w:rPr>
              <w:t>Documentation is an output, not the test</w:t>
            </w:r>
          </w:p>
        </w:tc>
        <w:tc>
          <w:tcPr>
            <w:tcW w:type="dxa" w:w="3216"/>
          </w:tcPr>
          <w:p>
            <w:r>
              <w:rPr>
                <w:sz w:val="17"/>
              </w:rPr>
              <w:t>⚠ A written runbook that nobody has executed is not a transfer</w:t>
            </w:r>
          </w:p>
        </w:tc>
      </w:tr>
      <w:tr>
        <w:tc>
          <w:tcPr>
            <w:tcW w:type="dxa" w:w="3216"/>
          </w:tcPr>
          <w:p>
            <w:r>
              <w:rPr>
                <w:sz w:val="17"/>
              </w:rPr>
              <w:t>KT-05</w:t>
            </w:r>
          </w:p>
        </w:tc>
        <w:tc>
          <w:tcPr>
            <w:tcW w:type="dxa" w:w="3216"/>
          </w:tcPr>
          <w:p>
            <w:r>
              <w:rPr>
                <w:sz w:val="17"/>
              </w:rPr>
              <w:t>Receiver capacity is planned</w:t>
            </w:r>
          </w:p>
        </w:tc>
        <w:tc>
          <w:tcPr>
            <w:tcW w:type="dxa" w:w="3216"/>
          </w:tcPr>
          <w:p>
            <w:r>
              <w:rPr>
                <w:sz w:val="17"/>
              </w:rPr>
              <w:t>The receiving person is given time for it. ⚠ A transfer squeezed around a full workload does not happen.</w:t>
            </w:r>
          </w:p>
        </w:tc>
      </w:tr>
      <w:tr>
        <w:tc>
          <w:tcPr>
            <w:tcW w:type="dxa" w:w="3216"/>
          </w:tcPr>
          <w:p>
            <w:r>
              <w:rPr>
                <w:sz w:val="17"/>
              </w:rPr>
              <w:t>KT-06</w:t>
            </w:r>
          </w:p>
        </w:tc>
        <w:tc>
          <w:tcPr>
            <w:tcW w:type="dxa" w:w="3216"/>
          </w:tcPr>
          <w:p>
            <w:r>
              <w:rPr>
                <w:sz w:val="17"/>
              </w:rPr>
              <w:t>Transfer completion gates release</w:t>
            </w:r>
          </w:p>
        </w:tc>
        <w:tc>
          <w:tcPr>
            <w:tcW w:type="dxa" w:w="3216"/>
          </w:tcPr>
          <w:p>
            <w:r>
              <w:rPr>
                <w:sz w:val="17"/>
              </w:rPr>
              <w:t>A covered role is not released until its transfer is accepted, or the release is escalated</w:t>
            </w:r>
          </w:p>
        </w:tc>
      </w:tr>
    </w:tbl>
    <w:p/>
    <w:p>
      <w:pPr>
        <w:spacing w:before="120"/>
        <w:ind w:left="360"/>
      </w:pPr>
      <w:r>
        <w:rPr>
          <w:i/>
          <w:color w:val="12304A"/>
          <w:sz w:val="20"/>
        </w:rPr>
        <w:t>KT-03 is the whole mechanism, and the conventional version of it does not work. The usual arrangement is that the incumbent demonstrates while the receiver watches and takes notes — which produces a receiver who has seen the job done and cannot do it. Reversing it is uncomfortable for both parties: the receiver is exposed doing work they are not yet good at, and the incumbent has to sit on their hands while someone slower does their job badly. ⚠ That discomfort is the test working. It is also the only version that surfaces the gap while the person who can close it is still employed, which is the entire point of having paid to keep them.</w:t>
      </w:r>
    </w:p>
    <w:p>
      <w:pPr>
        <w:spacing w:before="320"/>
      </w:pPr>
      <w:r>
        <w:rPr>
          <w:b/>
          <w:color w:val="12304A"/>
          <w:sz w:val="28"/>
        </w:rPr>
        <w:t>8. Communication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Moment</w:t>
            </w:r>
          </w:p>
        </w:tc>
        <w:tc>
          <w:tcPr>
            <w:tcW w:type="dxa" w:w="3216"/>
          </w:tcPr>
          <w:p>
            <w:r>
              <w:rPr>
                <w:b/>
                <w:sz w:val="17"/>
              </w:rPr>
              <w:t>Owner</w:t>
            </w:r>
          </w:p>
        </w:tc>
        <w:tc>
          <w:tcPr>
            <w:tcW w:type="dxa" w:w="3216"/>
          </w:tcPr>
          <w:p>
            <w:r>
              <w:rPr>
                <w:b/>
                <w:sz w:val="17"/>
              </w:rPr>
              <w:t>Approach</w:t>
            </w:r>
          </w:p>
        </w:tc>
      </w:tr>
      <w:tr>
        <w:tc>
          <w:tcPr>
            <w:tcW w:type="dxa" w:w="3216"/>
          </w:tcPr>
          <w:p>
            <w:r>
              <w:rPr>
                <w:sz w:val="17"/>
              </w:rPr>
              <w:t>Offer</w:t>
            </w:r>
          </w:p>
        </w:tc>
        <w:tc>
          <w:tcPr>
            <w:tcW w:type="dxa" w:w="3216"/>
          </w:tcPr>
          <w:p>
            <w:r>
              <w:rPr>
                <w:sz w:val="17"/>
              </w:rPr>
              <w:t>Line executive, individually</w:t>
            </w:r>
          </w:p>
        </w:tc>
        <w:tc>
          <w:tcPr>
            <w:tcW w:type="dxa" w:w="3216"/>
          </w:tcPr>
          <w:p>
            <w:r>
              <w:rPr>
                <w:sz w:val="17"/>
              </w:rPr>
              <w:t>⚠ One to one, never in a group. The conversation is about that person's role and date.</w:t>
            </w:r>
          </w:p>
        </w:tc>
      </w:tr>
      <w:tr>
        <w:tc>
          <w:tcPr>
            <w:tcW w:type="dxa" w:w="3216"/>
          </w:tcPr>
          <w:p>
            <w:r>
              <w:rPr>
                <w:sz w:val="17"/>
              </w:rPr>
              <w:t>What is said</w:t>
            </w:r>
          </w:p>
        </w:tc>
        <w:tc>
          <w:tcPr>
            <w:tcW w:type="dxa" w:w="3216"/>
          </w:tcPr>
          <w:p>
            <w:r>
              <w:rPr>
                <w:sz w:val="17"/>
              </w:rPr>
              <w:t>—</w:t>
            </w:r>
          </w:p>
        </w:tc>
        <w:tc>
          <w:tcPr>
            <w:tcW w:type="dxa" w:w="3216"/>
          </w:tcPr>
          <w:p>
            <w:r>
              <w:rPr>
                <w:sz w:val="17"/>
              </w:rPr>
              <w:t>The role is needed until a stated date; what happens after is not yet decided; here is what the agreement covers. ⚠ No implication of a permanent role that has not been decided.</w:t>
            </w:r>
          </w:p>
        </w:tc>
      </w:tr>
      <w:tr>
        <w:tc>
          <w:tcPr>
            <w:tcW w:type="dxa" w:w="3216"/>
          </w:tcPr>
          <w:p>
            <w:r>
              <w:rPr>
                <w:sz w:val="17"/>
              </w:rPr>
              <w:t>What is not said</w:t>
            </w:r>
          </w:p>
        </w:tc>
        <w:tc>
          <w:tcPr>
            <w:tcW w:type="dxa" w:w="3216"/>
          </w:tcPr>
          <w:p>
            <w:r>
              <w:rPr>
                <w:sz w:val="17"/>
              </w:rPr>
              <w:t>—</w:t>
            </w:r>
          </w:p>
        </w:tc>
        <w:tc>
          <w:tcPr>
            <w:tcW w:type="dxa" w:w="3216"/>
          </w:tcPr>
          <w:p>
            <w:r>
              <w:rPr>
                <w:sz w:val="17"/>
              </w:rPr>
              <w:t>⚠ No reassurance about the wider organization. A promise made to soften a conversation is a promise the program cannot keep.</w:t>
            </w:r>
          </w:p>
        </w:tc>
      </w:tr>
      <w:tr>
        <w:tc>
          <w:tcPr>
            <w:tcW w:type="dxa" w:w="3216"/>
          </w:tcPr>
          <w:p>
            <w:r>
              <w:rPr>
                <w:sz w:val="17"/>
              </w:rPr>
              <w:t>The uncovered</w:t>
            </w:r>
          </w:p>
        </w:tc>
        <w:tc>
          <w:tcPr>
            <w:tcW w:type="dxa" w:w="3216"/>
          </w:tcPr>
          <w:p>
            <w:r>
              <w:rPr>
                <w:sz w:val="17"/>
              </w:rPr>
              <w:t>D. Marchbanks</w:t>
            </w:r>
          </w:p>
        </w:tc>
        <w:tc>
          <w:tcPr>
            <w:tcW w:type="dxa" w:w="3216"/>
          </w:tcPr>
          <w:p>
            <w:r>
              <w:rPr>
                <w:sz w:val="17"/>
              </w:rPr>
              <w:t>⚠ Not told they are uncovered, and not told they are safe. Both would be misleading.</w:t>
            </w:r>
          </w:p>
        </w:tc>
      </w:tr>
      <w:tr>
        <w:tc>
          <w:tcPr>
            <w:tcW w:type="dxa" w:w="3216"/>
          </w:tcPr>
          <w:p>
            <w:r>
              <w:rPr>
                <w:sz w:val="17"/>
              </w:rPr>
              <w:t>Ongoing</w:t>
            </w:r>
          </w:p>
        </w:tc>
        <w:tc>
          <w:tcPr>
            <w:tcW w:type="dxa" w:w="3216"/>
          </w:tcPr>
          <w:p>
            <w:r>
              <w:rPr>
                <w:sz w:val="17"/>
              </w:rPr>
              <w:t>Line executive</w:t>
            </w:r>
          </w:p>
        </w:tc>
        <w:tc>
          <w:tcPr>
            <w:tcW w:type="dxa" w:w="3216"/>
          </w:tcPr>
          <w:p>
            <w:r>
              <w:rPr>
                <w:sz w:val="17"/>
              </w:rPr>
              <w:t>Monthly one to one for covered roles. ⚠ A retained person with no contact concludes they are being warehoused.</w:t>
            </w:r>
          </w:p>
        </w:tc>
      </w:tr>
    </w:tbl>
    <w:p/>
    <w:p>
      <w:pPr>
        <w:spacing w:before="120"/>
        <w:ind w:left="360"/>
      </w:pPr>
      <w:r>
        <w:rPr>
          <w:i/>
          <w:color w:val="12304A"/>
          <w:sz w:val="20"/>
        </w:rPr>
        <w:t>The hardest sentence in this plan is the one in row two, and it is the one worth getting right: "we need this role until roughly this date, and what happens after that has not been decided." It is unsatisfying, it will not make anybody happy, and it is true. The alternative — implying continuity that has not been decided — buys three months of calm and costs every subsequent message the program sends, because the person will remember exactly what was said when the decision goes the other way. ⚠ People handle uncertainty considerably better than they handle having been managed.</w:t>
      </w:r>
    </w:p>
    <w:p>
      <w:pPr>
        <w:spacing w:before="320"/>
      </w:pPr>
      <w:r>
        <w:rPr>
          <w:b/>
          <w:color w:val="12304A"/>
          <w:sz w:val="28"/>
        </w:rPr>
        <w:t>9. Measurement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Metric</w:t>
            </w:r>
          </w:p>
        </w:tc>
        <w:tc>
          <w:tcPr>
            <w:tcW w:type="dxa" w:w="3216"/>
          </w:tcPr>
          <w:p>
            <w:r>
              <w:rPr>
                <w:b/>
                <w:sz w:val="17"/>
              </w:rPr>
              <w:t>Target</w:t>
            </w:r>
          </w:p>
        </w:tc>
        <w:tc>
          <w:tcPr>
            <w:tcW w:type="dxa" w:w="3216"/>
          </w:tcPr>
          <w:p>
            <w:r>
              <w:rPr>
                <w:b/>
                <w:sz w:val="17"/>
              </w:rPr>
              <w:t>Note</w:t>
            </w:r>
          </w:p>
        </w:tc>
      </w:tr>
      <w:tr>
        <w:tc>
          <w:tcPr>
            <w:tcW w:type="dxa" w:w="3216"/>
          </w:tcPr>
          <w:p>
            <w:r>
              <w:rPr>
                <w:sz w:val="17"/>
              </w:rPr>
              <w:t>Covered roles retained to release</w:t>
            </w:r>
          </w:p>
        </w:tc>
        <w:tc>
          <w:tcPr>
            <w:tcW w:type="dxa" w:w="3216"/>
          </w:tcPr>
          <w:p>
            <w:r>
              <w:rPr>
                <w:sz w:val="17"/>
              </w:rPr>
              <w:t>Above 85%</w:t>
            </w:r>
          </w:p>
        </w:tc>
        <w:tc>
          <w:tcPr>
            <w:tcW w:type="dxa" w:w="3216"/>
          </w:tcPr>
          <w:p>
            <w:r>
              <w:rPr>
                <w:sz w:val="17"/>
              </w:rPr>
              <w:t>⚠ Not 100%. A plan assuming nobody leaves has no response designed.</w:t>
            </w:r>
          </w:p>
        </w:tc>
      </w:tr>
      <w:tr>
        <w:tc>
          <w:tcPr>
            <w:tcW w:type="dxa" w:w="3216"/>
          </w:tcPr>
          <w:p>
            <w:r>
              <w:rPr>
                <w:sz w:val="17"/>
              </w:rPr>
              <w:t>Transfers accepted before release</w:t>
            </w:r>
          </w:p>
        </w:tc>
        <w:tc>
          <w:tcPr>
            <w:tcW w:type="dxa" w:w="3216"/>
          </w:tcPr>
          <w:p>
            <w:r>
              <w:rPr>
                <w:sz w:val="17"/>
              </w:rPr>
              <w:t>100%</w:t>
            </w:r>
          </w:p>
        </w:tc>
        <w:tc>
          <w:tcPr>
            <w:tcW w:type="dxa" w:w="3216"/>
          </w:tcPr>
          <w:p>
            <w:r>
              <w:rPr>
                <w:sz w:val="17"/>
              </w:rPr>
              <w:t>The measure that matters. Retention without transfer is spend without benefit.</w:t>
            </w:r>
          </w:p>
        </w:tc>
      </w:tr>
      <w:tr>
        <w:tc>
          <w:tcPr>
            <w:tcW w:type="dxa" w:w="3216"/>
          </w:tcPr>
          <w:p>
            <w:r>
              <w:rPr>
                <w:sz w:val="17"/>
              </w:rPr>
              <w:t>Roles with no trained receiver</w:t>
            </w:r>
          </w:p>
        </w:tc>
        <w:tc>
          <w:tcPr>
            <w:tcW w:type="dxa" w:w="3216"/>
          </w:tcPr>
          <w:p>
            <w:r>
              <w:rPr>
                <w:sz w:val="17"/>
              </w:rPr>
              <w:t>Zero by Day 100</w:t>
            </w:r>
          </w:p>
        </w:tc>
        <w:tc>
          <w:tcPr>
            <w:tcW w:type="dxa" w:w="3216"/>
          </w:tcPr>
          <w:p>
            <w:r>
              <w:rPr>
                <w:sz w:val="17"/>
              </w:rPr>
              <w:t>Reported monthly to the Steering Committee</w:t>
            </w:r>
          </w:p>
        </w:tc>
      </w:tr>
      <w:tr>
        <w:tc>
          <w:tcPr>
            <w:tcW w:type="dxa" w:w="3216"/>
          </w:tcPr>
          <w:p>
            <w:r>
              <w:rPr>
                <w:sz w:val="17"/>
              </w:rPr>
              <w:t>Uncovered attrition in critical functions</w:t>
            </w:r>
          </w:p>
        </w:tc>
        <w:tc>
          <w:tcPr>
            <w:tcW w:type="dxa" w:w="3216"/>
          </w:tcPr>
          <w:p>
            <w:r>
              <w:rPr>
                <w:sz w:val="17"/>
              </w:rPr>
              <w:t>Monitored</w:t>
            </w:r>
          </w:p>
        </w:tc>
        <w:tc>
          <w:tcPr>
            <w:tcW w:type="dxa" w:w="3216"/>
          </w:tcPr>
          <w:p>
            <w:r>
              <w:rPr>
                <w:sz w:val="17"/>
              </w:rPr>
              <w:t>⚠ A departure outside the covered list can still hurt. The list is a judgment, not a fact.</w:t>
            </w:r>
          </w:p>
        </w:tc>
      </w:tr>
      <w:tr>
        <w:tc>
          <w:tcPr>
            <w:tcW w:type="dxa" w:w="3216"/>
          </w:tcPr>
          <w:p>
            <w:r>
              <w:rPr>
                <w:sz w:val="17"/>
              </w:rPr>
              <w:t>Time from resignation to receiver readiness</w:t>
            </w:r>
          </w:p>
        </w:tc>
        <w:tc>
          <w:tcPr>
            <w:tcW w:type="dxa" w:w="3216"/>
          </w:tcPr>
          <w:p>
            <w:r>
              <w:rPr>
                <w:sz w:val="17"/>
              </w:rPr>
              <w:t>Tracked</w:t>
            </w:r>
          </w:p>
        </w:tc>
        <w:tc>
          <w:tcPr>
            <w:tcW w:type="dxa" w:w="3216"/>
          </w:tcPr>
          <w:p>
            <w:r>
              <w:rPr>
                <w:sz w:val="17"/>
              </w:rPr>
              <w:t>The real measure of how exposed the program is</w:t>
            </w:r>
          </w:p>
        </w:tc>
      </w:tr>
    </w:tbl>
    <w:p/>
    <w:p>
      <w:pPr>
        <w:spacing w:before="320"/>
      </w:pPr>
      <w:r>
        <w:rPr>
          <w:b/>
          <w:color w:val="12304A"/>
          <w:sz w:val="28"/>
        </w:rPr>
        <w:t>10. When Someone Leaves Anyway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Response</w:t>
            </w:r>
          </w:p>
        </w:tc>
        <w:tc>
          <w:tcPr>
            <w:tcW w:type="dxa" w:w="3216"/>
          </w:tcPr>
          <w:p>
            <w:r>
              <w:rPr>
                <w:b/>
                <w:sz w:val="17"/>
              </w:rPr>
              <w:t>Detail</w:t>
            </w:r>
          </w:p>
        </w:tc>
      </w:tr>
      <w:tr>
        <w:tc>
          <w:tcPr>
            <w:tcW w:type="dxa" w:w="3216"/>
          </w:tcPr>
          <w:p>
            <w:r>
              <w:rPr>
                <w:sz w:val="17"/>
              </w:rPr>
              <w:t>DR-01</w:t>
            </w:r>
          </w:p>
        </w:tc>
        <w:tc>
          <w:tcPr>
            <w:tcW w:type="dxa" w:w="3216"/>
          </w:tcPr>
          <w:p>
            <w:r>
              <w:rPr>
                <w:sz w:val="17"/>
              </w:rPr>
              <w:t>Notified within 24 hours</w:t>
            </w:r>
          </w:p>
        </w:tc>
        <w:tc>
          <w:tcPr>
            <w:tcW w:type="dxa" w:w="3216"/>
          </w:tcPr>
          <w:p>
            <w:r>
              <w:rPr>
                <w:sz w:val="17"/>
              </w:rPr>
              <w:t>⚠ To the Program Manager and workstream lead, not only to Human Resources</w:t>
            </w:r>
          </w:p>
        </w:tc>
      </w:tr>
      <w:tr>
        <w:tc>
          <w:tcPr>
            <w:tcW w:type="dxa" w:w="3216"/>
          </w:tcPr>
          <w:p>
            <w:r>
              <w:rPr>
                <w:sz w:val="17"/>
              </w:rPr>
              <w:t>DR-02</w:t>
            </w:r>
          </w:p>
        </w:tc>
        <w:tc>
          <w:tcPr>
            <w:tcW w:type="dxa" w:w="3216"/>
          </w:tcPr>
          <w:p>
            <w:r>
              <w:rPr>
                <w:sz w:val="17"/>
              </w:rPr>
              <w:t>Transfer accelerated, not abandoned</w:t>
            </w:r>
          </w:p>
        </w:tc>
        <w:tc>
          <w:tcPr>
            <w:tcW w:type="dxa" w:w="3216"/>
          </w:tcPr>
          <w:p>
            <w:r>
              <w:rPr>
                <w:sz w:val="17"/>
              </w:rPr>
              <w:t>⚠ The notice period is re-planned around transfer. Ordinary handover activity is deprioritized in favor of it.</w:t>
            </w:r>
          </w:p>
        </w:tc>
      </w:tr>
      <w:tr>
        <w:tc>
          <w:tcPr>
            <w:tcW w:type="dxa" w:w="3216"/>
          </w:tcPr>
          <w:p>
            <w:r>
              <w:rPr>
                <w:sz w:val="17"/>
              </w:rPr>
              <w:t>DR-03</w:t>
            </w:r>
          </w:p>
        </w:tc>
        <w:tc>
          <w:tcPr>
            <w:tcW w:type="dxa" w:w="3216"/>
          </w:tcPr>
          <w:p>
            <w:r>
              <w:rPr>
                <w:sz w:val="17"/>
              </w:rPr>
              <w:t>Exposure assessed and logged</w:t>
            </w:r>
          </w:p>
        </w:tc>
        <w:tc>
          <w:tcPr>
            <w:tcW w:type="dxa" w:w="3216"/>
          </w:tcPr>
          <w:p>
            <w:r>
              <w:rPr>
                <w:sz w:val="17"/>
              </w:rPr>
              <w:t>What the program now cannot do, and by when it must be able to</w:t>
            </w:r>
          </w:p>
        </w:tc>
      </w:tr>
      <w:tr>
        <w:tc>
          <w:tcPr>
            <w:tcW w:type="dxa" w:w="3216"/>
          </w:tcPr>
          <w:p>
            <w:r>
              <w:rPr>
                <w:sz w:val="17"/>
              </w:rPr>
              <w:t>DR-04</w:t>
            </w:r>
          </w:p>
        </w:tc>
        <w:tc>
          <w:tcPr>
            <w:tcW w:type="dxa" w:w="3216"/>
          </w:tcPr>
          <w:p>
            <w:r>
              <w:rPr>
                <w:sz w:val="17"/>
              </w:rPr>
              <w:t>Backfill decided explicitly</w:t>
            </w:r>
          </w:p>
        </w:tc>
        <w:tc>
          <w:tcPr>
            <w:tcW w:type="dxa" w:w="3216"/>
          </w:tcPr>
          <w:p>
            <w:r>
              <w:rPr>
                <w:sz w:val="17"/>
              </w:rPr>
              <w:t>Replace, contract, absorb or accept — ⚠ decided, not defaulted</w:t>
            </w:r>
          </w:p>
        </w:tc>
      </w:tr>
      <w:tr>
        <w:tc>
          <w:tcPr>
            <w:tcW w:type="dxa" w:w="3216"/>
          </w:tcPr>
          <w:p>
            <w:r>
              <w:rPr>
                <w:sz w:val="17"/>
              </w:rPr>
              <w:t>DR-05</w:t>
            </w:r>
          </w:p>
        </w:tc>
        <w:tc>
          <w:tcPr>
            <w:tcW w:type="dxa" w:w="3216"/>
          </w:tcPr>
          <w:p>
            <w:r>
              <w:rPr>
                <w:sz w:val="17"/>
              </w:rPr>
              <w:t>Consider a consulting arrangement</w:t>
            </w:r>
          </w:p>
        </w:tc>
        <w:tc>
          <w:tcPr>
            <w:tcW w:type="dxa" w:w="3216"/>
          </w:tcPr>
          <w:p>
            <w:r>
              <w:rPr>
                <w:sz w:val="17"/>
              </w:rPr>
              <w:t>⚠ A departing expert may return on contract for defined transfer work. Cheaper than the alternative and frequently refused out of pride.</w:t>
            </w:r>
          </w:p>
        </w:tc>
      </w:tr>
      <w:tr>
        <w:tc>
          <w:tcPr>
            <w:tcW w:type="dxa" w:w="3216"/>
          </w:tcPr>
          <w:p>
            <w:r>
              <w:rPr>
                <w:sz w:val="17"/>
              </w:rPr>
              <w:t>DR-06</w:t>
            </w:r>
          </w:p>
        </w:tc>
        <w:tc>
          <w:tcPr>
            <w:tcW w:type="dxa" w:w="3216"/>
          </w:tcPr>
          <w:p>
            <w:r>
              <w:rPr>
                <w:sz w:val="17"/>
              </w:rPr>
              <w:t>Risk register updated</w:t>
            </w:r>
          </w:p>
        </w:tc>
        <w:tc>
          <w:tcPr>
            <w:tcW w:type="dxa" w:w="3216"/>
          </w:tcPr>
          <w:p>
            <w:r>
              <w:rPr>
                <w:sz w:val="17"/>
              </w:rPr>
              <w:t>The risk has materialized; it moves to issue management with an owner</w:t>
            </w:r>
          </w:p>
        </w:tc>
      </w:tr>
    </w:tbl>
    <w:p/>
    <w:p>
      <w:pPr>
        <w:spacing w:before="120"/>
        <w:ind w:left="360"/>
      </w:pPr>
      <w:r>
        <w:rPr>
          <w:i/>
          <w:color w:val="12304A"/>
          <w:sz w:val="20"/>
        </w:rPr>
        <w:t>The defensible summary if asked whether this program was adequately protected against key-person loss. Sixteen roles were identified by exposure rather than seniority, covered by instruments that pay in tranches and are conditional on transfer being accepted rather than delivered, each paired with a named receiver, and measured on transfers completed rather than on people retained. The plan assumes departures rather than hoping against them, and its response is written before the first one happens. ⚠ What it does not claim is that everyone stayed — that would be a claim about luck rather than about planning.</w:t>
      </w:r>
    </w:p>
    <w:p>
      <w:r>
        <w:t>Related artifacts: 14 — Resource Plan · 15 — Organization Chart · 17 — Communications Plan · 22 — TSA Schedule &amp; Exit Plan · BRD-02 — Core Administration · BRD-05 — Preserved Capabilities · 28 — Risk Register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