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REGISTER · ARTIFACT 28 ·</w:t>
      </w:r>
    </w:p>
    <w:p>
      <w:r>
        <w:rPr>
          <w:b/>
          <w:color w:val="12304A"/>
          <w:sz w:val="44"/>
        </w:rPr>
        <w:t>Risk Register</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The program risk register as at February 5, 2024 — four months after Day 1, two weeks after the post-discovery re-baseline, and seven months before the planned TSA exit. Eighteen risks are open or tracked, four have closed, and three have already been realized and moved to issue management. This is a working document rather than a summary: it records what the program believed at this date, including what it had sized correctly and what it had not yet been able to measure.</w:t>
      </w:r>
    </w:p>
    <w:p>
      <w:pPr>
        <w:spacing w:before="120"/>
        <w:ind w:left="360"/>
      </w:pPr>
      <w:r>
        <w:rPr>
          <w:i/>
          <w:color w:val="12304A"/>
          <w:sz w:val="20"/>
        </w:rPr>
        <w:t>This register is a period document. It reflects the program's understanding on its issue date and is not updated retrospectively. Where a later event changes the picture, that appears in the next issue of the register — not by editing this one. A risk register rewritten with hindsight is a summary of what happened, which is a different and much less useful thing.</w:t>
      </w:r>
    </w:p>
    <w:p>
      <w:pPr>
        <w:spacing w:before="320"/>
      </w:pPr>
      <w:r>
        <w:rPr>
          <w:b/>
          <w:color w:val="12304A"/>
          <w:sz w:val="28"/>
        </w:rPr>
        <w:t>1. Risk, Issue, Assumption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Category</w:t>
            </w:r>
          </w:p>
        </w:tc>
        <w:tc>
          <w:tcPr>
            <w:tcW w:type="dxa" w:w="3216"/>
          </w:tcPr>
          <w:p>
            <w:r>
              <w:rPr>
                <w:b/>
                <w:sz w:val="17"/>
              </w:rPr>
              <w:t>Definition</w:t>
            </w:r>
          </w:p>
        </w:tc>
        <w:tc>
          <w:tcPr>
            <w:tcW w:type="dxa" w:w="3216"/>
          </w:tcPr>
          <w:p>
            <w:r>
              <w:rPr>
                <w:b/>
                <w:sz w:val="17"/>
              </w:rPr>
              <w:t>Handled by</w:t>
            </w:r>
          </w:p>
        </w:tc>
      </w:tr>
      <w:tr>
        <w:tc>
          <w:tcPr>
            <w:tcW w:type="dxa" w:w="3216"/>
          </w:tcPr>
          <w:p>
            <w:r>
              <w:rPr>
                <w:sz w:val="17"/>
              </w:rPr>
              <w:t>Risk</w:t>
            </w:r>
          </w:p>
        </w:tc>
        <w:tc>
          <w:tcPr>
            <w:tcW w:type="dxa" w:w="3216"/>
          </w:tcPr>
          <w:p>
            <w:r>
              <w:rPr>
                <w:sz w:val="17"/>
              </w:rPr>
              <w:t>Might happen. Has a probability.</w:t>
            </w:r>
          </w:p>
        </w:tc>
        <w:tc>
          <w:tcPr>
            <w:tcW w:type="dxa" w:w="3216"/>
          </w:tcPr>
          <w:p>
            <w:r>
              <w:rPr>
                <w:sz w:val="17"/>
              </w:rPr>
              <w:t>This register. Mitigated, transferred, avoided or accepted.</w:t>
            </w:r>
          </w:p>
        </w:tc>
      </w:tr>
      <w:tr>
        <w:tc>
          <w:tcPr>
            <w:tcW w:type="dxa" w:w="3216"/>
          </w:tcPr>
          <w:p>
            <w:r>
              <w:rPr>
                <w:sz w:val="17"/>
              </w:rPr>
              <w:t>Issue</w:t>
            </w:r>
          </w:p>
        </w:tc>
        <w:tc>
          <w:tcPr>
            <w:tcW w:type="dxa" w:w="3216"/>
          </w:tcPr>
          <w:p>
            <w:r>
              <w:rPr>
                <w:sz w:val="17"/>
              </w:rPr>
              <w:t>Has happened. Probability is 1.</w:t>
            </w:r>
          </w:p>
        </w:tc>
        <w:tc>
          <w:tcPr>
            <w:tcW w:type="dxa" w:w="3216"/>
          </w:tcPr>
          <w:p>
            <w:r>
              <w:rPr>
                <w:sz w:val="17"/>
              </w:rPr>
              <w:t>Issue management. ⚠ A realized risk stops being a risk — leaving it in the register overstates future exposure.</w:t>
            </w:r>
          </w:p>
        </w:tc>
      </w:tr>
      <w:tr>
        <w:tc>
          <w:tcPr>
            <w:tcW w:type="dxa" w:w="3216"/>
          </w:tcPr>
          <w:p>
            <w:r>
              <w:rPr>
                <w:sz w:val="17"/>
              </w:rPr>
              <w:t>Assumption</w:t>
            </w:r>
          </w:p>
        </w:tc>
        <w:tc>
          <w:tcPr>
            <w:tcW w:type="dxa" w:w="3216"/>
          </w:tcPr>
          <w:p>
            <w:r>
              <w:rPr>
                <w:sz w:val="17"/>
              </w:rPr>
              <w:t>Believed true, not verified. If false, becomes a risk.</w:t>
            </w:r>
          </w:p>
        </w:tc>
        <w:tc>
          <w:tcPr>
            <w:tcW w:type="dxa" w:w="3216"/>
          </w:tcPr>
          <w:p>
            <w:r>
              <w:rPr>
                <w:sz w:val="17"/>
              </w:rPr>
              <w:t>Tracked with a test date. See 1.1.</w:t>
            </w:r>
          </w:p>
        </w:tc>
      </w:tr>
      <w:tr>
        <w:tc>
          <w:tcPr>
            <w:tcW w:type="dxa" w:w="3216"/>
          </w:tcPr>
          <w:p>
            <w:r>
              <w:rPr>
                <w:sz w:val="17"/>
              </w:rPr>
              <w:t>Dependency</w:t>
            </w:r>
          </w:p>
        </w:tc>
        <w:tc>
          <w:tcPr>
            <w:tcW w:type="dxa" w:w="3216"/>
          </w:tcPr>
          <w:p>
            <w:r>
              <w:rPr>
                <w:sz w:val="17"/>
              </w:rPr>
              <w:t>Something outside the program's control that it needs</w:t>
            </w:r>
          </w:p>
        </w:tc>
        <w:tc>
          <w:tcPr>
            <w:tcW w:type="dxa" w:w="3216"/>
          </w:tcPr>
          <w:p>
            <w:r>
              <w:rPr>
                <w:sz w:val="17"/>
              </w:rPr>
              <w:t>Tracked separately; escalated when the external party slips</w:t>
            </w:r>
          </w:p>
        </w:tc>
      </w:tr>
    </w:tbl>
    <w:p/>
    <w:p>
      <w:pPr>
        <w:spacing w:before="200"/>
      </w:pPr>
      <w:r>
        <w:rPr>
          <w:b/>
          <w:color w:val="2B5F8E"/>
          <w:sz w:val="23"/>
        </w:rPr>
        <w:t>1.1 Assumptions that became risks</w:t>
      </w:r>
    </w:p>
    <w:p>
      <w:r>
        <w:t>The Due Diligence Findings carried a register of matters that could not be assessed before closing. Each was an assumption with a test date. As those tests complete, the assumption either closes or converts into a risk with a score.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Assumption at closing</w:t>
            </w:r>
          </w:p>
        </w:tc>
        <w:tc>
          <w:tcPr>
            <w:tcW w:type="dxa" w:w="3216"/>
          </w:tcPr>
          <w:p>
            <w:r>
              <w:rPr>
                <w:b/>
                <w:sz w:val="17"/>
              </w:rPr>
              <w:t>Test</w:t>
            </w:r>
          </w:p>
        </w:tc>
        <w:tc>
          <w:tcPr>
            <w:tcW w:type="dxa" w:w="3216"/>
          </w:tcPr>
          <w:p>
            <w:r>
              <w:rPr>
                <w:b/>
                <w:sz w:val="17"/>
              </w:rPr>
              <w:t>Outcome as at this date</w:t>
            </w:r>
          </w:p>
        </w:tc>
      </w:tr>
      <w:tr>
        <w:tc>
          <w:tcPr>
            <w:tcW w:type="dxa" w:w="3216"/>
          </w:tcPr>
          <w:p>
            <w:r>
              <w:rPr>
                <w:sz w:val="17"/>
              </w:rPr>
              <w:t>Target vendor contracts assignable or novatable</w:t>
            </w:r>
          </w:p>
        </w:tc>
        <w:tc>
          <w:tcPr>
            <w:tcW w:type="dxa" w:w="3216"/>
          </w:tcPr>
          <w:p>
            <w:r>
              <w:rPr>
                <w:sz w:val="17"/>
              </w:rPr>
              <w:t>Pre-close sweep</w:t>
            </w:r>
          </w:p>
        </w:tc>
        <w:tc>
          <w:tcPr>
            <w:tcW w:type="dxa" w:w="3216"/>
          </w:tcPr>
          <w:p>
            <w:r>
              <w:rPr>
                <w:sz w:val="17"/>
              </w:rPr>
              <w:t>Closed Consents obtained; see R-04</w:t>
            </w:r>
          </w:p>
        </w:tc>
      </w:tr>
      <w:tr>
        <w:tc>
          <w:tcPr>
            <w:tcW w:type="dxa" w:w="3216"/>
          </w:tcPr>
          <w:p>
            <w:r>
              <w:rPr>
                <w:sz w:val="17"/>
              </w:rPr>
              <w:t>ACME platform absorbs target volume without re-architecture</w:t>
            </w:r>
          </w:p>
        </w:tc>
        <w:tc>
          <w:tcPr>
            <w:tcW w:type="dxa" w:w="3216"/>
          </w:tcPr>
          <w:p>
            <w:r>
              <w:rPr>
                <w:sz w:val="17"/>
              </w:rPr>
              <w:t>Post-close load analysis</w:t>
            </w:r>
          </w:p>
        </w:tc>
        <w:tc>
          <w:tcPr>
            <w:tcW w:type="dxa" w:w="3216"/>
          </w:tcPr>
          <w:p>
            <w:r>
              <w:rPr>
                <w:sz w:val="17"/>
              </w:rPr>
              <w:t>Closed Headroom confirmed</w:t>
            </w:r>
          </w:p>
        </w:tc>
      </w:tr>
      <w:tr>
        <w:tc>
          <w:tcPr>
            <w:tcW w:type="dxa" w:w="3216"/>
          </w:tcPr>
          <w:p>
            <w:r>
              <w:rPr>
                <w:sz w:val="17"/>
              </w:rPr>
              <w:t>No regulatory condition restricting data location</w:t>
            </w:r>
          </w:p>
        </w:tc>
        <w:tc>
          <w:tcPr>
            <w:tcW w:type="dxa" w:w="3216"/>
          </w:tcPr>
          <w:p>
            <w:r>
              <w:rPr>
                <w:sz w:val="17"/>
              </w:rPr>
              <w:t>Form A terms</w:t>
            </w:r>
          </w:p>
        </w:tc>
        <w:tc>
          <w:tcPr>
            <w:tcW w:type="dxa" w:w="3216"/>
          </w:tcPr>
          <w:p>
            <w:r>
              <w:rPr>
                <w:sz w:val="17"/>
              </w:rPr>
              <w:t>⚠ Converted A condition does apply — became R-07</w:t>
            </w:r>
          </w:p>
        </w:tc>
      </w:tr>
      <w:tr>
        <w:tc>
          <w:tcPr>
            <w:tcW w:type="dxa" w:w="3216"/>
          </w:tcPr>
          <w:p>
            <w:r>
              <w:rPr>
                <w:sz w:val="17"/>
              </w:rPr>
              <w:t>Target member data quality broadly as represented</w:t>
            </w:r>
          </w:p>
        </w:tc>
        <w:tc>
          <w:tcPr>
            <w:tcW w:type="dxa" w:w="3216"/>
          </w:tcPr>
          <w:p>
            <w:r>
              <w:rPr>
                <w:sz w:val="17"/>
              </w:rPr>
              <w:t>Post-close profiling</w:t>
            </w:r>
          </w:p>
        </w:tc>
        <w:tc>
          <w:tcPr>
            <w:tcW w:type="dxa" w:w="3216"/>
          </w:tcPr>
          <w:p>
            <w:r>
              <w:rPr>
                <w:sz w:val="17"/>
              </w:rPr>
              <w:t>⚠⚠ Still open. Profiling in progress. Carried as R-01.</w:t>
            </w:r>
          </w:p>
        </w:tc>
      </w:tr>
    </w:tbl>
    <w:p/>
    <w:p>
      <w:pPr>
        <w:spacing w:before="120"/>
        <w:ind w:left="360"/>
      </w:pPr>
      <w:r>
        <w:rPr>
          <w:i/>
          <w:color w:val="12304A"/>
          <w:sz w:val="20"/>
        </w:rPr>
        <w:t>The last row is the only assumption from closing that remains untested four months in, and it is the largest. Profiling requires the full member file loaded, standardized and matched — work that could not begin until after closing and that has taken longer than the sequence assumed. Until it completes, R-01 is scored on the deal-model assumption rather than on measurement, which means the register is carrying its most consequential risk at an exposure nobody has yet been able to verify.</w:t>
      </w:r>
    </w:p>
    <w:p>
      <w:pPr>
        <w:spacing w:before="320"/>
      </w:pPr>
      <w:r>
        <w:rPr>
          <w:b/>
          <w:color w:val="12304A"/>
          <w:sz w:val="28"/>
        </w:rPr>
        <w:t>2. Scoring</w:t>
      </w:r>
    </w:p>
    <w:p>
      <w:r>
        <w:t>Exposure is probability against impact, with one deliberate departure from the usual method.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Exposure</w:t>
            </w:r>
          </w:p>
        </w:tc>
        <w:tc>
          <w:tcPr>
            <w:tcW w:type="dxa" w:w="4824"/>
          </w:tcPr>
          <w:p>
            <w:r>
              <w:rPr>
                <w:b/>
                <w:sz w:val="17"/>
              </w:rPr>
              <w:t>Meaning</w:t>
            </w:r>
          </w:p>
        </w:tc>
      </w:tr>
      <w:tr>
        <w:tc>
          <w:tcPr>
            <w:tcW w:type="dxa" w:w="4824"/>
          </w:tcPr>
          <w:p>
            <w:r>
              <w:rPr>
                <w:sz w:val="17"/>
              </w:rPr>
              <w:t>Critical</w:t>
            </w:r>
          </w:p>
        </w:tc>
        <w:tc>
          <w:tcPr>
            <w:tcW w:type="dxa" w:w="4824"/>
          </w:tcPr>
          <w:p>
            <w:r>
              <w:rPr>
                <w:sz w:val="17"/>
              </w:rPr>
              <w:t>Threatens a Charter rank 1 or 2 constraint — the TSA maximum or Day 1 operational integrity. ⚠ Assigned on impact regardless of probability.</w:t>
            </w:r>
          </w:p>
        </w:tc>
      </w:tr>
      <w:tr>
        <w:tc>
          <w:tcPr>
            <w:tcW w:type="dxa" w:w="4824"/>
          </w:tcPr>
          <w:p>
            <w:r>
              <w:rPr>
                <w:sz w:val="17"/>
              </w:rPr>
              <w:t>High</w:t>
            </w:r>
          </w:p>
        </w:tc>
        <w:tc>
          <w:tcPr>
            <w:tcW w:type="dxa" w:w="4824"/>
          </w:tcPr>
          <w:p>
            <w:r>
              <w:rPr>
                <w:sz w:val="17"/>
              </w:rPr>
              <w:t>Threatens the synergy commitment or a major milestone</w:t>
            </w:r>
          </w:p>
        </w:tc>
      </w:tr>
      <w:tr>
        <w:tc>
          <w:tcPr>
            <w:tcW w:type="dxa" w:w="4824"/>
          </w:tcPr>
          <w:p>
            <w:r>
              <w:rPr>
                <w:sz w:val="17"/>
              </w:rPr>
              <w:t>Medium</w:t>
            </w:r>
          </w:p>
        </w:tc>
        <w:tc>
          <w:tcPr>
            <w:tcW w:type="dxa" w:w="4824"/>
          </w:tcPr>
          <w:p>
            <w:r>
              <w:rPr>
                <w:sz w:val="17"/>
              </w:rPr>
              <w:t>Material cost or schedule effect, absorbable within contingency</w:t>
            </w:r>
          </w:p>
        </w:tc>
      </w:tr>
      <w:tr>
        <w:tc>
          <w:tcPr>
            <w:tcW w:type="dxa" w:w="4824"/>
          </w:tcPr>
          <w:p>
            <w:r>
              <w:rPr>
                <w:sz w:val="17"/>
              </w:rPr>
              <w:t>Low</w:t>
            </w:r>
          </w:p>
        </w:tc>
        <w:tc>
          <w:tcPr>
            <w:tcW w:type="dxa" w:w="4824"/>
          </w:tcPr>
          <w:p>
            <w:r>
              <w:rPr>
                <w:sz w:val="17"/>
              </w:rPr>
              <w:t>Monitored; no active mitigation spend</w:t>
            </w:r>
          </w:p>
        </w:tc>
      </w:tr>
    </w:tbl>
    <w:p/>
    <w:p>
      <w:pPr>
        <w:spacing w:before="120"/>
        <w:ind w:left="360"/>
      </w:pPr>
      <w:r>
        <w:rPr>
          <w:i/>
          <w:color w:val="12304A"/>
          <w:sz w:val="20"/>
        </w:rPr>
        <w:t>The departure: a low-probability risk that would breach a hard constraint is scored Critical anyway. Multiplying probability by impact collapses "unlikely but fatal" and "likely but survivable" into the same number, and they demand completely different responses. A five percent chance of breaching the TSA contractual maximum is not a medium risk that can wait for the monthly review — it is a risk the Steering Committee should see every time it meets, because the consequence is not recoverable by spending more money later.</w:t>
      </w:r>
    </w:p>
    <w:p>
      <w:pPr>
        <w:spacing w:before="320"/>
      </w:pPr>
      <w:r>
        <w:rPr>
          <w:b/>
          <w:color w:val="12304A"/>
          <w:sz w:val="28"/>
        </w:rPr>
        <w:t>3. Open Risks</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Risk</w:t>
            </w:r>
          </w:p>
        </w:tc>
        <w:tc>
          <w:tcPr>
            <w:tcW w:type="dxa" w:w="1608"/>
          </w:tcPr>
          <w:p>
            <w:r>
              <w:rPr>
                <w:b/>
                <w:sz w:val="17"/>
              </w:rPr>
              <w:t>Exposure</w:t>
            </w:r>
          </w:p>
        </w:tc>
        <w:tc>
          <w:tcPr>
            <w:tcW w:type="dxa" w:w="1608"/>
          </w:tcPr>
          <w:p>
            <w:r>
              <w:rPr>
                <w:b/>
                <w:sz w:val="17"/>
              </w:rPr>
              <w:t>Owner</w:t>
            </w:r>
          </w:p>
        </w:tc>
        <w:tc>
          <w:tcPr>
            <w:tcW w:type="dxa" w:w="1608"/>
          </w:tcPr>
          <w:p>
            <w:r>
              <w:rPr>
                <w:b/>
                <w:sz w:val="17"/>
              </w:rPr>
              <w:t>Status</w:t>
            </w:r>
          </w:p>
        </w:tc>
        <w:tc>
          <w:tcPr>
            <w:tcW w:type="dxa" w:w="1608"/>
          </w:tcPr>
          <w:p>
            <w:r>
              <w:rPr>
                <w:b/>
                <w:sz w:val="17"/>
              </w:rPr>
              <w:t>Mitigation</w:t>
            </w:r>
          </w:p>
        </w:tc>
      </w:tr>
      <w:tr>
        <w:tc>
          <w:tcPr>
            <w:tcW w:type="dxa" w:w="1608"/>
          </w:tcPr>
          <w:p>
            <w:r>
              <w:rPr>
                <w:sz w:val="17"/>
              </w:rPr>
              <w:t>R-01</w:t>
            </w:r>
          </w:p>
        </w:tc>
        <w:tc>
          <w:tcPr>
            <w:tcW w:type="dxa" w:w="1608"/>
          </w:tcPr>
          <w:p>
            <w:r>
              <w:rPr>
                <w:sz w:val="17"/>
              </w:rPr>
              <w:t>Member identity resolution materially harder than modeled</w:t>
            </w:r>
          </w:p>
        </w:tc>
        <w:tc>
          <w:tcPr>
            <w:tcW w:type="dxa" w:w="1608"/>
          </w:tcPr>
          <w:p>
            <w:r>
              <w:rPr>
                <w:sz w:val="17"/>
              </w:rPr>
              <w:t>Critical</w:t>
            </w:r>
          </w:p>
        </w:tc>
        <w:tc>
          <w:tcPr>
            <w:tcW w:type="dxa" w:w="1608"/>
          </w:tcPr>
          <w:p>
            <w:r>
              <w:rPr>
                <w:sz w:val="17"/>
              </w:rPr>
              <w:t>Dr. A. Ravindran</w:t>
            </w:r>
          </w:p>
        </w:tc>
        <w:tc>
          <w:tcPr>
            <w:tcW w:type="dxa" w:w="1608"/>
          </w:tcPr>
          <w:p>
            <w:r>
              <w:rPr>
                <w:sz w:val="17"/>
              </w:rPr>
              <w:t>Open</w:t>
            </w:r>
          </w:p>
        </w:tc>
        <w:tc>
          <w:tcPr>
            <w:tcW w:type="dxa" w:w="1608"/>
          </w:tcPr>
          <w:p>
            <w:r>
              <w:rPr>
                <w:sz w:val="17"/>
              </w:rPr>
              <w:t>⚠ Profiling in progress. Steward capacity scalable through the staffing agreement. See §4.1.</w:t>
            </w:r>
          </w:p>
        </w:tc>
      </w:tr>
      <w:tr>
        <w:tc>
          <w:tcPr>
            <w:tcW w:type="dxa" w:w="1608"/>
          </w:tcPr>
          <w:p>
            <w:r>
              <w:rPr>
                <w:sz w:val="17"/>
              </w:rPr>
              <w:t>R-02</w:t>
            </w:r>
          </w:p>
        </w:tc>
        <w:tc>
          <w:tcPr>
            <w:tcW w:type="dxa" w:w="1608"/>
          </w:tcPr>
          <w:p>
            <w:r>
              <w:rPr>
                <w:sz w:val="17"/>
              </w:rPr>
              <w:t>Attrition of retention-covered target staff before TSA exit</w:t>
            </w:r>
          </w:p>
        </w:tc>
        <w:tc>
          <w:tcPr>
            <w:tcW w:type="dxa" w:w="1608"/>
          </w:tcPr>
          <w:p>
            <w:r>
              <w:rPr>
                <w:sz w:val="17"/>
              </w:rPr>
              <w:t>Critical</w:t>
            </w:r>
          </w:p>
        </w:tc>
        <w:tc>
          <w:tcPr>
            <w:tcW w:type="dxa" w:w="1608"/>
          </w:tcPr>
          <w:p>
            <w:r>
              <w:rPr>
                <w:sz w:val="17"/>
              </w:rPr>
              <w:t>D. Marchbanks</w:t>
            </w:r>
          </w:p>
        </w:tc>
        <w:tc>
          <w:tcPr>
            <w:tcW w:type="dxa" w:w="1608"/>
          </w:tcPr>
          <w:p>
            <w:r>
              <w:rPr>
                <w:sz w:val="17"/>
              </w:rPr>
              <w:t>Open</w:t>
            </w:r>
          </w:p>
        </w:tc>
        <w:tc>
          <w:tcPr>
            <w:tcW w:type="dxa" w:w="1608"/>
          </w:tcPr>
          <w:p>
            <w:r>
              <w:rPr>
                <w:sz w:val="17"/>
              </w:rPr>
              <w:t>Retention agreements on 14 roles; knowledge transfer as a tracked deliverable with named receivers</w:t>
            </w:r>
          </w:p>
        </w:tc>
      </w:tr>
      <w:tr>
        <w:tc>
          <w:tcPr>
            <w:tcW w:type="dxa" w:w="1608"/>
          </w:tcPr>
          <w:p>
            <w:r>
              <w:rPr>
                <w:sz w:val="17"/>
              </w:rPr>
              <w:t>R-03</w:t>
            </w:r>
          </w:p>
        </w:tc>
        <w:tc>
          <w:tcPr>
            <w:tcW w:type="dxa" w:w="1608"/>
          </w:tcPr>
          <w:p>
            <w:r>
              <w:rPr>
                <w:sz w:val="17"/>
              </w:rPr>
              <w:t>Cloud skills gap slows migration or incident response</w:t>
            </w:r>
          </w:p>
        </w:tc>
        <w:tc>
          <w:tcPr>
            <w:tcW w:type="dxa" w:w="1608"/>
          </w:tcPr>
          <w:p>
            <w:r>
              <w:rPr>
                <w:sz w:val="17"/>
              </w:rPr>
              <w:t>High</w:t>
            </w:r>
          </w:p>
        </w:tc>
        <w:tc>
          <w:tcPr>
            <w:tcW w:type="dxa" w:w="1608"/>
          </w:tcPr>
          <w:p>
            <w:r>
              <w:rPr>
                <w:sz w:val="17"/>
              </w:rPr>
              <w:t>B. Trammell</w:t>
            </w:r>
          </w:p>
        </w:tc>
        <w:tc>
          <w:tcPr>
            <w:tcW w:type="dxa" w:w="1608"/>
          </w:tcPr>
          <w:p>
            <w:r>
              <w:rPr>
                <w:sz w:val="17"/>
              </w:rPr>
              <w:t>Open</w:t>
            </w:r>
          </w:p>
        </w:tc>
        <w:tc>
          <w:tcPr>
            <w:tcW w:type="dxa" w:w="1608"/>
          </w:tcPr>
          <w:p>
            <w:r>
              <w:rPr>
                <w:sz w:val="17"/>
              </w:rPr>
              <w:t>Co-managed model with Rutherford Cloud Operations; capability measured at each step-down boundary</w:t>
            </w:r>
          </w:p>
        </w:tc>
      </w:tr>
      <w:tr>
        <w:tc>
          <w:tcPr>
            <w:tcW w:type="dxa" w:w="1608"/>
          </w:tcPr>
          <w:p>
            <w:r>
              <w:rPr>
                <w:sz w:val="17"/>
              </w:rPr>
              <w:t>R-04</w:t>
            </w:r>
          </w:p>
        </w:tc>
        <w:tc>
          <w:tcPr>
            <w:tcW w:type="dxa" w:w="1608"/>
          </w:tcPr>
          <w:p>
            <w:r>
              <w:rPr>
                <w:sz w:val="17"/>
              </w:rPr>
              <w:t>Vendor exercises a change-of-control termination right</w:t>
            </w:r>
          </w:p>
        </w:tc>
        <w:tc>
          <w:tcPr>
            <w:tcW w:type="dxa" w:w="1608"/>
          </w:tcPr>
          <w:p>
            <w:r>
              <w:rPr>
                <w:sz w:val="17"/>
              </w:rPr>
              <w:t>High</w:t>
            </w:r>
          </w:p>
        </w:tc>
        <w:tc>
          <w:tcPr>
            <w:tcW w:type="dxa" w:w="1608"/>
          </w:tcPr>
          <w:p>
            <w:r>
              <w:rPr>
                <w:sz w:val="17"/>
              </w:rPr>
              <w:t>H. Castellow</w:t>
            </w:r>
          </w:p>
        </w:tc>
        <w:tc>
          <w:tcPr>
            <w:tcW w:type="dxa" w:w="1608"/>
          </w:tcPr>
          <w:p>
            <w:r>
              <w:rPr>
                <w:sz w:val="17"/>
              </w:rPr>
              <w:t>Open</w:t>
            </w:r>
          </w:p>
        </w:tc>
        <w:tc>
          <w:tcPr>
            <w:tcW w:type="dxa" w:w="1608"/>
          </w:tcPr>
          <w:p>
            <w:r>
              <w:rPr>
                <w:sz w:val="17"/>
              </w:rPr>
              <w:t>Three rights identified; consents and run-out terms secured. Residual exposure is renewal pricing, not service loss.</w:t>
            </w:r>
          </w:p>
        </w:tc>
      </w:tr>
      <w:tr>
        <w:tc>
          <w:tcPr>
            <w:tcW w:type="dxa" w:w="1608"/>
          </w:tcPr>
          <w:p>
            <w:r>
              <w:rPr>
                <w:sz w:val="17"/>
              </w:rPr>
              <w:t>R-05</w:t>
            </w:r>
          </w:p>
        </w:tc>
        <w:tc>
          <w:tcPr>
            <w:tcW w:type="dxa" w:w="1608"/>
          </w:tcPr>
          <w:p>
            <w:r>
              <w:rPr>
                <w:sz w:val="17"/>
              </w:rPr>
              <w:t>Core administration cutover slips past the TSA plan date</w:t>
            </w:r>
          </w:p>
        </w:tc>
        <w:tc>
          <w:tcPr>
            <w:tcW w:type="dxa" w:w="1608"/>
          </w:tcPr>
          <w:p>
            <w:r>
              <w:rPr>
                <w:sz w:val="17"/>
              </w:rPr>
              <w:t>Critical</w:t>
            </w:r>
          </w:p>
        </w:tc>
        <w:tc>
          <w:tcPr>
            <w:tcW w:type="dxa" w:w="1608"/>
          </w:tcPr>
          <w:p>
            <w:r>
              <w:rPr>
                <w:sz w:val="17"/>
              </w:rPr>
              <w:t>W. Ferriday</w:t>
            </w:r>
          </w:p>
        </w:tc>
        <w:tc>
          <w:tcPr>
            <w:tcW w:type="dxa" w:w="1608"/>
          </w:tcPr>
          <w:p>
            <w:r>
              <w:rPr>
                <w:sz w:val="17"/>
              </w:rPr>
              <w:t>Open</w:t>
            </w:r>
          </w:p>
        </w:tc>
        <w:tc>
          <w:tcPr>
            <w:tcW w:type="dxa" w:w="1608"/>
          </w:tcPr>
          <w:p>
            <w:r>
              <w:rPr>
                <w:sz w:val="17"/>
              </w:rPr>
              <w:t>Dependent on R-01. Six months of negotiated margin remain unspent.</w:t>
            </w:r>
          </w:p>
        </w:tc>
      </w:tr>
      <w:tr>
        <w:tc>
          <w:tcPr>
            <w:tcW w:type="dxa" w:w="1608"/>
          </w:tcPr>
          <w:p>
            <w:r>
              <w:rPr>
                <w:sz w:val="17"/>
              </w:rPr>
              <w:t>R-06</w:t>
            </w:r>
          </w:p>
        </w:tc>
        <w:tc>
          <w:tcPr>
            <w:tcW w:type="dxa" w:w="1608"/>
          </w:tcPr>
          <w:p>
            <w:r>
              <w:rPr>
                <w:sz w:val="17"/>
              </w:rPr>
              <w:t>Provider contracts do not permit rationalization in the modeled window</w:t>
            </w:r>
          </w:p>
        </w:tc>
        <w:tc>
          <w:tcPr>
            <w:tcW w:type="dxa" w:w="1608"/>
          </w:tcPr>
          <w:p>
            <w:r>
              <w:rPr>
                <w:sz w:val="17"/>
              </w:rPr>
              <w:t>High</w:t>
            </w:r>
          </w:p>
        </w:tc>
        <w:tc>
          <w:tcPr>
            <w:tcW w:type="dxa" w:w="1608"/>
          </w:tcPr>
          <w:p>
            <w:r>
              <w:rPr>
                <w:sz w:val="17"/>
              </w:rPr>
              <w:t>J. Kirkendall</w:t>
            </w:r>
          </w:p>
        </w:tc>
        <w:tc>
          <w:tcPr>
            <w:tcW w:type="dxa" w:w="1608"/>
          </w:tcPr>
          <w:p>
            <w:r>
              <w:rPr>
                <w:sz w:val="17"/>
              </w:rPr>
              <w:t>Open</w:t>
            </w:r>
          </w:p>
        </w:tc>
        <w:tc>
          <w:tcPr>
            <w:tcW w:type="dxa" w:w="1608"/>
          </w:tcPr>
          <w:p>
            <w:r>
              <w:rPr>
                <w:sz w:val="17"/>
              </w:rPr>
              <w:t>Network synergy re-profiled to renewal calendar; timing risk rather than value loss</w:t>
            </w:r>
          </w:p>
        </w:tc>
      </w:tr>
      <w:tr>
        <w:tc>
          <w:tcPr>
            <w:tcW w:type="dxa" w:w="1608"/>
          </w:tcPr>
          <w:p>
            <w:r>
              <w:rPr>
                <w:sz w:val="17"/>
              </w:rPr>
              <w:t>R-07</w:t>
            </w:r>
          </w:p>
        </w:tc>
        <w:tc>
          <w:tcPr>
            <w:tcW w:type="dxa" w:w="1608"/>
          </w:tcPr>
          <w:p>
            <w:r>
              <w:rPr>
                <w:sz w:val="17"/>
              </w:rPr>
              <w:t>State conditions restrict where member data may be processed</w:t>
            </w:r>
          </w:p>
        </w:tc>
        <w:tc>
          <w:tcPr>
            <w:tcW w:type="dxa" w:w="1608"/>
          </w:tcPr>
          <w:p>
            <w:r>
              <w:rPr>
                <w:sz w:val="17"/>
              </w:rPr>
              <w:t>High</w:t>
            </w:r>
          </w:p>
        </w:tc>
        <w:tc>
          <w:tcPr>
            <w:tcW w:type="dxa" w:w="1608"/>
          </w:tcPr>
          <w:p>
            <w:r>
              <w:rPr>
                <w:sz w:val="17"/>
              </w:rPr>
              <w:t>R. Cadwallader</w:t>
            </w:r>
          </w:p>
        </w:tc>
        <w:tc>
          <w:tcPr>
            <w:tcW w:type="dxa" w:w="1608"/>
          </w:tcPr>
          <w:p>
            <w:r>
              <w:rPr>
                <w:sz w:val="17"/>
              </w:rPr>
              <w:t>Accepted</w:t>
            </w:r>
          </w:p>
        </w:tc>
        <w:tc>
          <w:tcPr>
            <w:tcW w:type="dxa" w:w="1608"/>
          </w:tcPr>
          <w:p>
            <w:r>
              <w:rPr>
                <w:sz w:val="17"/>
              </w:rPr>
              <w:t>⚠ Not mitigable — it is a regulatory condition. Accepted, with the constraint reflected in resourcing and platform policy.</w:t>
            </w:r>
          </w:p>
        </w:tc>
      </w:tr>
      <w:tr>
        <w:tc>
          <w:tcPr>
            <w:tcW w:type="dxa" w:w="1608"/>
          </w:tcPr>
          <w:p>
            <w:r>
              <w:rPr>
                <w:sz w:val="17"/>
              </w:rPr>
              <w:t>R-08</w:t>
            </w:r>
          </w:p>
        </w:tc>
        <w:tc>
          <w:tcPr>
            <w:tcW w:type="dxa" w:w="1608"/>
          </w:tcPr>
          <w:p>
            <w:r>
              <w:rPr>
                <w:sz w:val="17"/>
              </w:rPr>
              <w:t>Data warehouse go-live without demonstrated recovery</w:t>
            </w:r>
          </w:p>
        </w:tc>
        <w:tc>
          <w:tcPr>
            <w:tcW w:type="dxa" w:w="1608"/>
          </w:tcPr>
          <w:p>
            <w:r>
              <w:rPr>
                <w:sz w:val="17"/>
              </w:rPr>
              <w:t>High</w:t>
            </w:r>
          </w:p>
        </w:tc>
        <w:tc>
          <w:tcPr>
            <w:tcW w:type="dxa" w:w="1608"/>
          </w:tcPr>
          <w:p>
            <w:r>
              <w:rPr>
                <w:sz w:val="17"/>
              </w:rPr>
              <w:t>H. Sandifer</w:t>
            </w:r>
          </w:p>
        </w:tc>
        <w:tc>
          <w:tcPr>
            <w:tcW w:type="dxa" w:w="1608"/>
          </w:tcPr>
          <w:p>
            <w:r>
              <w:rPr>
                <w:sz w:val="17"/>
              </w:rPr>
              <w:t>Open</w:t>
            </w:r>
          </w:p>
        </w:tc>
        <w:tc>
          <w:tcPr>
            <w:tcW w:type="dxa" w:w="1608"/>
          </w:tcPr>
          <w:p>
            <w:r>
              <w:rPr>
                <w:sz w:val="17"/>
              </w:rPr>
              <w:t>Tier 2, RTO 72h / RPO 24h; seven gate conditions incl. a tested restore before go-live. See §4.4.</w:t>
            </w:r>
          </w:p>
        </w:tc>
      </w:tr>
      <w:tr>
        <w:tc>
          <w:tcPr>
            <w:tcW w:type="dxa" w:w="1608"/>
          </w:tcPr>
          <w:p>
            <w:r>
              <w:rPr>
                <w:sz w:val="17"/>
              </w:rPr>
              <w:t>R-09</w:t>
            </w:r>
          </w:p>
        </w:tc>
        <w:tc>
          <w:tcPr>
            <w:tcW w:type="dxa" w:w="1608"/>
          </w:tcPr>
          <w:p>
            <w:r>
              <w:rPr>
                <w:sz w:val="17"/>
              </w:rPr>
              <w:t>Egress capacity insufficient for the historical estate</w:t>
            </w:r>
          </w:p>
        </w:tc>
        <w:tc>
          <w:tcPr>
            <w:tcW w:type="dxa" w:w="1608"/>
          </w:tcPr>
          <w:p>
            <w:r>
              <w:rPr>
                <w:sz w:val="17"/>
              </w:rPr>
              <w:t>Medium</w:t>
            </w:r>
          </w:p>
        </w:tc>
        <w:tc>
          <w:tcPr>
            <w:tcW w:type="dxa" w:w="1608"/>
          </w:tcPr>
          <w:p>
            <w:r>
              <w:rPr>
                <w:sz w:val="17"/>
              </w:rPr>
              <w:t>D. Fontenot</w:t>
            </w:r>
          </w:p>
        </w:tc>
        <w:tc>
          <w:tcPr>
            <w:tcW w:type="dxa" w:w="1608"/>
          </w:tcPr>
          <w:p>
            <w:r>
              <w:rPr>
                <w:sz w:val="17"/>
              </w:rPr>
              <w:t>Open</w:t>
            </w:r>
          </w:p>
        </w:tc>
        <w:tc>
          <w:tcPr>
            <w:tcW w:type="dxa" w:w="1608"/>
          </w:tcPr>
          <w:p>
            <w:r>
              <w:rPr>
                <w:sz w:val="17"/>
              </w:rPr>
              <w:t>Five physical transfer appliances in rotation; archive transfer ahead of schedule</w:t>
            </w:r>
          </w:p>
        </w:tc>
      </w:tr>
      <w:tr>
        <w:tc>
          <w:tcPr>
            <w:tcW w:type="dxa" w:w="1608"/>
          </w:tcPr>
          <w:p>
            <w:r>
              <w:rPr>
                <w:sz w:val="17"/>
              </w:rPr>
              <w:t>R-10</w:t>
            </w:r>
          </w:p>
        </w:tc>
        <w:tc>
          <w:tcPr>
            <w:tcW w:type="dxa" w:w="1608"/>
          </w:tcPr>
          <w:p>
            <w:r>
              <w:rPr>
                <w:sz w:val="17"/>
              </w:rPr>
              <w:t>Interface defects surface during parallel run</w:t>
            </w:r>
          </w:p>
        </w:tc>
        <w:tc>
          <w:tcPr>
            <w:tcW w:type="dxa" w:w="1608"/>
          </w:tcPr>
          <w:p>
            <w:r>
              <w:rPr>
                <w:sz w:val="17"/>
              </w:rPr>
              <w:t>Medium</w:t>
            </w:r>
          </w:p>
        </w:tc>
        <w:tc>
          <w:tcPr>
            <w:tcW w:type="dxa" w:w="1608"/>
          </w:tcPr>
          <w:p>
            <w:r>
              <w:rPr>
                <w:sz w:val="17"/>
              </w:rPr>
              <w:t>R. Delacroix</w:t>
            </w:r>
          </w:p>
        </w:tc>
        <w:tc>
          <w:tcPr>
            <w:tcW w:type="dxa" w:w="1608"/>
          </w:tcPr>
          <w:p>
            <w:r>
              <w:rPr>
                <w:sz w:val="17"/>
              </w:rPr>
              <w:t>Open</w:t>
            </w:r>
          </w:p>
        </w:tc>
        <w:tc>
          <w:tcPr>
            <w:tcW w:type="dxa" w:w="1608"/>
          </w:tcPr>
          <w:p>
            <w:r>
              <w:rPr>
                <w:sz w:val="17"/>
              </w:rPr>
              <w:t>Daily control-total reconciliation; X12 assurance contracted to a specialist</w:t>
            </w:r>
          </w:p>
        </w:tc>
      </w:tr>
      <w:tr>
        <w:tc>
          <w:tcPr>
            <w:tcW w:type="dxa" w:w="1608"/>
          </w:tcPr>
          <w:p>
            <w:r>
              <w:rPr>
                <w:sz w:val="17"/>
              </w:rPr>
              <w:t>R-11</w:t>
            </w:r>
          </w:p>
        </w:tc>
        <w:tc>
          <w:tcPr>
            <w:tcW w:type="dxa" w:w="1608"/>
          </w:tcPr>
          <w:p>
            <w:r>
              <w:rPr>
                <w:sz w:val="17"/>
              </w:rPr>
              <w:t>Business Associate Agreement scope inadequate for a new region or service</w:t>
            </w:r>
          </w:p>
        </w:tc>
        <w:tc>
          <w:tcPr>
            <w:tcW w:type="dxa" w:w="1608"/>
          </w:tcPr>
          <w:p>
            <w:r>
              <w:rPr>
                <w:sz w:val="17"/>
              </w:rPr>
              <w:t>High</w:t>
            </w:r>
          </w:p>
        </w:tc>
        <w:tc>
          <w:tcPr>
            <w:tcW w:type="dxa" w:w="1608"/>
          </w:tcPr>
          <w:p>
            <w:r>
              <w:rPr>
                <w:sz w:val="17"/>
              </w:rPr>
              <w:t>L. Braithwaite</w:t>
            </w:r>
          </w:p>
        </w:tc>
        <w:tc>
          <w:tcPr>
            <w:tcW w:type="dxa" w:w="1608"/>
          </w:tcPr>
          <w:p>
            <w:r>
              <w:rPr>
                <w:sz w:val="17"/>
              </w:rPr>
              <w:t>Open</w:t>
            </w:r>
          </w:p>
        </w:tc>
        <w:tc>
          <w:tcPr>
            <w:tcW w:type="dxa" w:w="1608"/>
          </w:tcPr>
          <w:p>
            <w:r>
              <w:rPr>
                <w:sz w:val="17"/>
              </w:rPr>
              <w:t>Scope confirmation rather than existence check; sixteen agreements tracked individually</w:t>
            </w:r>
          </w:p>
        </w:tc>
      </w:tr>
      <w:tr>
        <w:tc>
          <w:tcPr>
            <w:tcW w:type="dxa" w:w="1608"/>
          </w:tcPr>
          <w:p>
            <w:r>
              <w:rPr>
                <w:sz w:val="17"/>
              </w:rPr>
              <w:t>R-12</w:t>
            </w:r>
          </w:p>
        </w:tc>
        <w:tc>
          <w:tcPr>
            <w:tcW w:type="dxa" w:w="1608"/>
          </w:tcPr>
          <w:p>
            <w:r>
              <w:rPr>
                <w:sz w:val="17"/>
              </w:rPr>
              <w:t>MSP step-down slips; ACME does not reach self-sufficiency</w:t>
            </w:r>
          </w:p>
        </w:tc>
        <w:tc>
          <w:tcPr>
            <w:tcW w:type="dxa" w:w="1608"/>
          </w:tcPr>
          <w:p>
            <w:r>
              <w:rPr>
                <w:sz w:val="17"/>
              </w:rPr>
              <w:t>Medium</w:t>
            </w:r>
          </w:p>
        </w:tc>
        <w:tc>
          <w:tcPr>
            <w:tcW w:type="dxa" w:w="1608"/>
          </w:tcPr>
          <w:p>
            <w:r>
              <w:rPr>
                <w:sz w:val="17"/>
              </w:rPr>
              <w:t>B. Trammell</w:t>
            </w:r>
          </w:p>
        </w:tc>
        <w:tc>
          <w:tcPr>
            <w:tcW w:type="dxa" w:w="1608"/>
          </w:tcPr>
          <w:p>
            <w:r>
              <w:rPr>
                <w:sz w:val="17"/>
              </w:rPr>
              <w:t>Open</w:t>
            </w:r>
          </w:p>
        </w:tc>
        <w:tc>
          <w:tcPr>
            <w:tcW w:type="dxa" w:w="1608"/>
          </w:tcPr>
          <w:p>
            <w:r>
              <w:rPr>
                <w:sz w:val="17"/>
              </w:rPr>
              <w:t>Step-down is a contractual exhibit with acceptance at each boundary, not a statement of intent</w:t>
            </w:r>
          </w:p>
        </w:tc>
      </w:tr>
      <w:tr>
        <w:tc>
          <w:tcPr>
            <w:tcW w:type="dxa" w:w="1608"/>
          </w:tcPr>
          <w:p>
            <w:r>
              <w:rPr>
                <w:sz w:val="17"/>
              </w:rPr>
              <w:t>R-13</w:t>
            </w:r>
          </w:p>
        </w:tc>
        <w:tc>
          <w:tcPr>
            <w:tcW w:type="dxa" w:w="1608"/>
          </w:tcPr>
          <w:p>
            <w:r>
              <w:rPr>
                <w:sz w:val="17"/>
              </w:rPr>
              <w:t>Member service degradation at CRM absorption</w:t>
            </w:r>
          </w:p>
        </w:tc>
        <w:tc>
          <w:tcPr>
            <w:tcW w:type="dxa" w:w="1608"/>
          </w:tcPr>
          <w:p>
            <w:r>
              <w:rPr>
                <w:sz w:val="17"/>
              </w:rPr>
              <w:t>Medium</w:t>
            </w:r>
          </w:p>
        </w:tc>
        <w:tc>
          <w:tcPr>
            <w:tcW w:type="dxa" w:w="1608"/>
          </w:tcPr>
          <w:p>
            <w:r>
              <w:rPr>
                <w:sz w:val="17"/>
              </w:rPr>
              <w:t>T. Ruffalo</w:t>
            </w:r>
          </w:p>
        </w:tc>
        <w:tc>
          <w:tcPr>
            <w:tcW w:type="dxa" w:w="1608"/>
          </w:tcPr>
          <w:p>
            <w:r>
              <w:rPr>
                <w:sz w:val="17"/>
              </w:rPr>
              <w:t>Open</w:t>
            </w:r>
          </w:p>
        </w:tc>
        <w:tc>
          <w:tcPr>
            <w:tcW w:type="dxa" w:w="1608"/>
          </w:tcPr>
          <w:p>
            <w:r>
              <w:rPr>
                <w:sz w:val="17"/>
              </w:rPr>
              <w:t>Coexistence held through Day 100 precisely to avoid this; absorption sequenced after stabilization</w:t>
            </w:r>
          </w:p>
        </w:tc>
      </w:tr>
      <w:tr>
        <w:tc>
          <w:tcPr>
            <w:tcW w:type="dxa" w:w="1608"/>
          </w:tcPr>
          <w:p>
            <w:r>
              <w:rPr>
                <w:sz w:val="17"/>
              </w:rPr>
              <w:t>R-14</w:t>
            </w:r>
          </w:p>
        </w:tc>
        <w:tc>
          <w:tcPr>
            <w:tcW w:type="dxa" w:w="1608"/>
          </w:tcPr>
          <w:p>
            <w:r>
              <w:rPr>
                <w:sz w:val="17"/>
              </w:rPr>
              <w:t>Claims timeliness degrades under combined volume, drawing regulatory attention</w:t>
            </w:r>
          </w:p>
        </w:tc>
        <w:tc>
          <w:tcPr>
            <w:tcW w:type="dxa" w:w="1608"/>
          </w:tcPr>
          <w:p>
            <w:r>
              <w:rPr>
                <w:sz w:val="17"/>
              </w:rPr>
              <w:t>High</w:t>
            </w:r>
          </w:p>
        </w:tc>
        <w:tc>
          <w:tcPr>
            <w:tcW w:type="dxa" w:w="1608"/>
          </w:tcPr>
          <w:p>
            <w:r>
              <w:rPr>
                <w:sz w:val="17"/>
              </w:rPr>
              <w:t>R. Cadwallader</w:t>
            </w:r>
          </w:p>
        </w:tc>
        <w:tc>
          <w:tcPr>
            <w:tcW w:type="dxa" w:w="1608"/>
          </w:tcPr>
          <w:p>
            <w:r>
              <w:rPr>
                <w:sz w:val="17"/>
              </w:rPr>
              <w:t>Open</w:t>
            </w:r>
          </w:p>
        </w:tc>
        <w:tc>
          <w:tcPr>
            <w:tcW w:type="dxa" w:w="1608"/>
          </w:tcPr>
          <w:p>
            <w:r>
              <w:rPr>
                <w:sz w:val="17"/>
              </w:rPr>
              <w:t>Timeliness metrics monitored through cutover; prior market conduct finding makes this a regulatory matter, not only a service one</w:t>
            </w:r>
          </w:p>
        </w:tc>
      </w:tr>
      <w:tr>
        <w:tc>
          <w:tcPr>
            <w:tcW w:type="dxa" w:w="1608"/>
          </w:tcPr>
          <w:p>
            <w:r>
              <w:rPr>
                <w:sz w:val="17"/>
              </w:rPr>
              <w:t>R-15</w:t>
            </w:r>
          </w:p>
        </w:tc>
        <w:tc>
          <w:tcPr>
            <w:tcW w:type="dxa" w:w="1608"/>
          </w:tcPr>
          <w:p>
            <w:r>
              <w:rPr>
                <w:sz w:val="17"/>
              </w:rPr>
              <w:t>Source systems not decommissioned, data center exit slips</w:t>
            </w:r>
          </w:p>
        </w:tc>
        <w:tc>
          <w:tcPr>
            <w:tcW w:type="dxa" w:w="1608"/>
          </w:tcPr>
          <w:p>
            <w:r>
              <w:rPr>
                <w:sz w:val="17"/>
              </w:rPr>
              <w:t>Medium</w:t>
            </w:r>
          </w:p>
        </w:tc>
        <w:tc>
          <w:tcPr>
            <w:tcW w:type="dxa" w:w="1608"/>
          </w:tcPr>
          <w:p>
            <w:r>
              <w:rPr>
                <w:sz w:val="17"/>
              </w:rPr>
              <w:t>H. Sandifer</w:t>
            </w:r>
          </w:p>
        </w:tc>
        <w:tc>
          <w:tcPr>
            <w:tcW w:type="dxa" w:w="1608"/>
          </w:tcPr>
          <w:p>
            <w:r>
              <w:rPr>
                <w:sz w:val="17"/>
              </w:rPr>
              <w:t>Open</w:t>
            </w:r>
          </w:p>
        </w:tc>
        <w:tc>
          <w:tcPr>
            <w:tcW w:type="dxa" w:w="1608"/>
          </w:tcPr>
          <w:p>
            <w:r>
              <w:rPr>
                <w:sz w:val="17"/>
              </w:rPr>
              <w:t>Dated shutdown required at each wave exit; tracked to the lease date</w:t>
            </w:r>
          </w:p>
        </w:tc>
      </w:tr>
      <w:tr>
        <w:tc>
          <w:tcPr>
            <w:tcW w:type="dxa" w:w="1608"/>
          </w:tcPr>
          <w:p>
            <w:r>
              <w:rPr>
                <w:sz w:val="17"/>
              </w:rPr>
              <w:t>R-16</w:t>
            </w:r>
          </w:p>
        </w:tc>
        <w:tc>
          <w:tcPr>
            <w:tcW w:type="dxa" w:w="1608"/>
          </w:tcPr>
          <w:p>
            <w:r>
              <w:rPr>
                <w:sz w:val="17"/>
              </w:rPr>
              <w:t>Synergy reported but not evidenced in the ledger</w:t>
            </w:r>
          </w:p>
        </w:tc>
        <w:tc>
          <w:tcPr>
            <w:tcW w:type="dxa" w:w="1608"/>
          </w:tcPr>
          <w:p>
            <w:r>
              <w:rPr>
                <w:sz w:val="17"/>
              </w:rPr>
              <w:t>Medium</w:t>
            </w:r>
          </w:p>
        </w:tc>
        <w:tc>
          <w:tcPr>
            <w:tcW w:type="dxa" w:w="1608"/>
          </w:tcPr>
          <w:p>
            <w:r>
              <w:rPr>
                <w:sz w:val="17"/>
              </w:rPr>
              <w:t>J. Petrosyan</w:t>
            </w:r>
          </w:p>
        </w:tc>
        <w:tc>
          <w:tcPr>
            <w:tcW w:type="dxa" w:w="1608"/>
          </w:tcPr>
          <w:p>
            <w:r>
              <w:rPr>
                <w:sz w:val="17"/>
              </w:rPr>
              <w:t>Open</w:t>
            </w:r>
          </w:p>
        </w:tc>
        <w:tc>
          <w:tcPr>
            <w:tcW w:type="dxa" w:w="1608"/>
          </w:tcPr>
          <w:p>
            <w:r>
              <w:rPr>
                <w:sz w:val="17"/>
              </w:rPr>
              <w:t>Independent measurement against a frozen baseline; source owners deliver but do not measure</w:t>
            </w:r>
          </w:p>
        </w:tc>
      </w:tr>
      <w:tr>
        <w:tc>
          <w:tcPr>
            <w:tcW w:type="dxa" w:w="1608"/>
          </w:tcPr>
          <w:p>
            <w:r>
              <w:rPr>
                <w:sz w:val="17"/>
              </w:rPr>
              <w:t>R-17</w:t>
            </w:r>
          </w:p>
        </w:tc>
        <w:tc>
          <w:tcPr>
            <w:tcW w:type="dxa" w:w="1608"/>
          </w:tcPr>
          <w:p>
            <w:r>
              <w:rPr>
                <w:sz w:val="17"/>
              </w:rPr>
              <w:t>Integration layer accumulates business logic and cannot be retired</w:t>
            </w:r>
          </w:p>
        </w:tc>
        <w:tc>
          <w:tcPr>
            <w:tcW w:type="dxa" w:w="1608"/>
          </w:tcPr>
          <w:p>
            <w:r>
              <w:rPr>
                <w:sz w:val="17"/>
              </w:rPr>
              <w:t>Low</w:t>
            </w:r>
          </w:p>
        </w:tc>
        <w:tc>
          <w:tcPr>
            <w:tcW w:type="dxa" w:w="1608"/>
          </w:tcPr>
          <w:p>
            <w:r>
              <w:rPr>
                <w:sz w:val="17"/>
              </w:rPr>
              <w:t>R. Delacroix</w:t>
            </w:r>
          </w:p>
        </w:tc>
        <w:tc>
          <w:tcPr>
            <w:tcW w:type="dxa" w:w="1608"/>
          </w:tcPr>
          <w:p>
            <w:r>
              <w:rPr>
                <w:sz w:val="17"/>
              </w:rPr>
              <w:t>Open</w:t>
            </w:r>
          </w:p>
        </w:tc>
        <w:tc>
          <w:tcPr>
            <w:tcW w:type="dxa" w:w="1608"/>
          </w:tcPr>
          <w:p>
            <w:r>
              <w:rPr>
                <w:sz w:val="17"/>
              </w:rPr>
              <w:t>Enforced at design review; registered consumer list; retirement evidenced by zero traffic</w:t>
            </w:r>
          </w:p>
        </w:tc>
      </w:tr>
      <w:tr>
        <w:tc>
          <w:tcPr>
            <w:tcW w:type="dxa" w:w="1608"/>
          </w:tcPr>
          <w:p>
            <w:r>
              <w:rPr>
                <w:sz w:val="17"/>
              </w:rPr>
              <w:t>R-18</w:t>
            </w:r>
          </w:p>
        </w:tc>
        <w:tc>
          <w:tcPr>
            <w:tcW w:type="dxa" w:w="1608"/>
          </w:tcPr>
          <w:p>
            <w:r>
              <w:rPr>
                <w:sz w:val="17"/>
              </w:rPr>
              <w:t>Open appeals cases cannot migrate with regulatory record intact</w:t>
            </w:r>
          </w:p>
        </w:tc>
        <w:tc>
          <w:tcPr>
            <w:tcW w:type="dxa" w:w="1608"/>
          </w:tcPr>
          <w:p>
            <w:r>
              <w:rPr>
                <w:sz w:val="17"/>
              </w:rPr>
              <w:t>Medium</w:t>
            </w:r>
          </w:p>
        </w:tc>
        <w:tc>
          <w:tcPr>
            <w:tcW w:type="dxa" w:w="1608"/>
          </w:tcPr>
          <w:p>
            <w:r>
              <w:rPr>
                <w:sz w:val="17"/>
              </w:rPr>
              <w:t>F. Underhill</w:t>
            </w:r>
          </w:p>
        </w:tc>
        <w:tc>
          <w:tcPr>
            <w:tcW w:type="dxa" w:w="1608"/>
          </w:tcPr>
          <w:p>
            <w:r>
              <w:rPr>
                <w:sz w:val="17"/>
              </w:rPr>
              <w:t>Open</w:t>
            </w:r>
          </w:p>
        </w:tc>
        <w:tc>
          <w:tcPr>
            <w:tcW w:type="dxa" w:w="1608"/>
          </w:tcPr>
          <w:p>
            <w:r>
              <w:rPr>
                <w:sz w:val="17"/>
              </w:rPr>
              <w:t>Cases complete in the system that opened them; appeals interface retires last</w:t>
            </w:r>
          </w:p>
        </w:tc>
      </w:tr>
    </w:tbl>
    <w:p/>
    <w:p>
      <w:pPr>
        <w:spacing w:before="320"/>
      </w:pPr>
      <w:r>
        <w:rPr>
          <w:b/>
          <w:color w:val="12304A"/>
          <w:sz w:val="28"/>
        </w:rPr>
        <w:t>4. The Four That Drive the Program</w:t>
      </w:r>
    </w:p>
    <w:p>
      <w:pPr>
        <w:spacing w:before="200"/>
      </w:pPr>
      <w:r>
        <w:rPr>
          <w:b/>
          <w:color w:val="2B5F8E"/>
          <w:sz w:val="23"/>
        </w:rPr>
        <w:t>4.1 R-01 — identity resolution</w:t>
      </w:r>
    </w:p>
    <w:p>
      <w:r>
        <w:t>Critical. Open. Unquantified.</w:t>
      </w:r>
    </w:p>
    <w:p>
      <w:r>
        <w:t>The deal model assumed a clerical review band of roughly eight percent of the target population, producing a queue of about 33,600 records. At four stewards clearing 100 records a day, that is 84 working days — comfortably inside the migration window. Every input to that calculation except the population size is an assumption, and the assumption that matters most was made without sight of the data because the Clean Team Protocol forbade it.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If the band is</w:t>
            </w:r>
          </w:p>
        </w:tc>
        <w:tc>
          <w:tcPr>
            <w:tcW w:type="dxa" w:w="2412"/>
          </w:tcPr>
          <w:p>
            <w:r>
              <w:rPr>
                <w:b/>
                <w:sz w:val="17"/>
              </w:rPr>
              <w:t>Queue</w:t>
            </w:r>
          </w:p>
        </w:tc>
        <w:tc>
          <w:tcPr>
            <w:tcW w:type="dxa" w:w="2412"/>
          </w:tcPr>
          <w:p>
            <w:r>
              <w:rPr>
                <w:b/>
                <w:sz w:val="17"/>
              </w:rPr>
              <w:t>Days at current staffing</w:t>
            </w:r>
          </w:p>
        </w:tc>
        <w:tc>
          <w:tcPr>
            <w:tcW w:type="dxa" w:w="2412"/>
          </w:tcPr>
          <w:p>
            <w:r>
              <w:rPr>
                <w:b/>
                <w:sz w:val="17"/>
              </w:rPr>
              <w:t>Effect</w:t>
            </w:r>
          </w:p>
        </w:tc>
      </w:tr>
      <w:tr>
        <w:tc>
          <w:tcPr>
            <w:tcW w:type="dxa" w:w="2412"/>
          </w:tcPr>
          <w:p>
            <w:r>
              <w:rPr>
                <w:sz w:val="17"/>
              </w:rPr>
              <w:t>8% — the assumption</w:t>
            </w:r>
          </w:p>
        </w:tc>
        <w:tc>
          <w:tcPr>
            <w:tcW w:type="dxa" w:w="2412"/>
          </w:tcPr>
          <w:p>
            <w:r>
              <w:rPr>
                <w:sz w:val="17"/>
              </w:rPr>
              <w:t>33,600</w:t>
            </w:r>
          </w:p>
        </w:tc>
        <w:tc>
          <w:tcPr>
            <w:tcW w:type="dxa" w:w="2412"/>
          </w:tcPr>
          <w:p>
            <w:r>
              <w:rPr>
                <w:sz w:val="17"/>
              </w:rPr>
              <w:t>84</w:t>
            </w:r>
          </w:p>
        </w:tc>
        <w:tc>
          <w:tcPr>
            <w:tcW w:type="dxa" w:w="2412"/>
          </w:tcPr>
          <w:p>
            <w:r>
              <w:rPr>
                <w:sz w:val="17"/>
              </w:rPr>
              <w:t>Fits with margin</w:t>
            </w:r>
          </w:p>
        </w:tc>
      </w:tr>
      <w:tr>
        <w:tc>
          <w:tcPr>
            <w:tcW w:type="dxa" w:w="2412"/>
          </w:tcPr>
          <w:p>
            <w:r>
              <w:rPr>
                <w:sz w:val="17"/>
              </w:rPr>
              <w:t>12%</w:t>
            </w:r>
          </w:p>
        </w:tc>
        <w:tc>
          <w:tcPr>
            <w:tcW w:type="dxa" w:w="2412"/>
          </w:tcPr>
          <w:p>
            <w:r>
              <w:rPr>
                <w:sz w:val="17"/>
              </w:rPr>
              <w:t>50,400</w:t>
            </w:r>
          </w:p>
        </w:tc>
        <w:tc>
          <w:tcPr>
            <w:tcW w:type="dxa" w:w="2412"/>
          </w:tcPr>
          <w:p>
            <w:r>
              <w:rPr>
                <w:sz w:val="17"/>
              </w:rPr>
              <w:t>126</w:t>
            </w:r>
          </w:p>
        </w:tc>
        <w:tc>
          <w:tcPr>
            <w:tcW w:type="dxa" w:w="2412"/>
          </w:tcPr>
          <w:p>
            <w:r>
              <w:rPr>
                <w:sz w:val="17"/>
              </w:rPr>
              <w:t>Fits, no margin</w:t>
            </w:r>
          </w:p>
        </w:tc>
      </w:tr>
      <w:tr>
        <w:tc>
          <w:tcPr>
            <w:tcW w:type="dxa" w:w="2412"/>
          </w:tcPr>
          <w:p>
            <w:r>
              <w:rPr>
                <w:sz w:val="17"/>
              </w:rPr>
              <w:t>16%</w:t>
            </w:r>
          </w:p>
        </w:tc>
        <w:tc>
          <w:tcPr>
            <w:tcW w:type="dxa" w:w="2412"/>
          </w:tcPr>
          <w:p>
            <w:r>
              <w:rPr>
                <w:sz w:val="17"/>
              </w:rPr>
              <w:t>67,200</w:t>
            </w:r>
          </w:p>
        </w:tc>
        <w:tc>
          <w:tcPr>
            <w:tcW w:type="dxa" w:w="2412"/>
          </w:tcPr>
          <w:p>
            <w:r>
              <w:rPr>
                <w:sz w:val="17"/>
              </w:rPr>
              <w:t>168</w:t>
            </w:r>
          </w:p>
        </w:tc>
        <w:tc>
          <w:tcPr>
            <w:tcW w:type="dxa" w:w="2412"/>
          </w:tcPr>
          <w:p>
            <w:r>
              <w:rPr>
                <w:sz w:val="17"/>
              </w:rPr>
              <w:t>⚠ Exceeds the window at current staffing</w:t>
            </w:r>
          </w:p>
        </w:tc>
      </w:tr>
    </w:tbl>
    <w:p/>
    <w:p>
      <w:pPr>
        <w:spacing w:before="120"/>
        <w:ind w:left="360"/>
      </w:pPr>
      <w:r>
        <w:rPr>
          <w:i/>
          <w:color w:val="12304A"/>
          <w:sz w:val="20"/>
        </w:rPr>
        <w:t>The queue scales linearly with the review band, and three of the obvious responses are unavailable. Offshore stewards are barred — state conditions prohibit processing member-level data outside the United States, which is R-07 and is accepted rather than mitigated. Throughput cannot be raised by pressure, because a steward working faster is a steward spending less time on the hard cases, and the hard cases are where false positives originate. Additional stewards can be recruited through the staffing agreement, but onboarding and training run several weeks. The only lever that responds quickly is time, and time is the rank 1 constraint.</w:t>
      </w:r>
    </w:p>
    <w:p>
      <w:r>
        <w:t>Profiling is scheduled to complete this quarter. Until it does, this risk is carried at an exposure the program has not been able to verify, and R-05 is dependent on it.</w:t>
      </w:r>
    </w:p>
    <w:p>
      <w:pPr>
        <w:spacing w:before="200"/>
      </w:pPr>
      <w:r>
        <w:rPr>
          <w:b/>
          <w:color w:val="2B5F8E"/>
          <w:sz w:val="23"/>
        </w:rPr>
        <w:t>4.2 R-02 — retention</w:t>
      </w:r>
    </w:p>
    <w:p>
      <w:r>
        <w:t>Critical. Open. Fourteen target-side roles are covered by retention agreements, selected because they hold system knowledge the TSA exit depends on. The exposure is not headcount; it is that a departure removes knowledge the receiving organization has not yet absorbed. Knowledge transfer is specified as a deliverable with named receivers and reverse-shadowing acceptance, precisely so that a departure after transfer is a staffing problem rather than a program one.</w:t>
      </w:r>
    </w:p>
    <w:p>
      <w:pPr>
        <w:spacing w:before="200"/>
      </w:pPr>
      <w:r>
        <w:rPr>
          <w:b/>
          <w:color w:val="2B5F8E"/>
          <w:sz w:val="23"/>
        </w:rPr>
        <w:t>4.3 R-05 — TSA date</w:t>
      </w:r>
    </w:p>
    <w:p>
      <w:r>
        <w:t>Critical. Open, and dependent on R-01. Core administration cutover is the last wave and the longest chain. Six months of negotiated margin sit between the planned exit and the contractual maximum. That margin exists for exactly this situation and has not been drawn on. ⚠ It is also finite, and spending it is a Steering Committee decision rather than a program one.</w:t>
      </w:r>
    </w:p>
    <w:p>
      <w:pPr>
        <w:spacing w:before="200"/>
      </w:pPr>
      <w:r>
        <w:rPr>
          <w:b/>
          <w:color w:val="2B5F8E"/>
          <w:sz w:val="23"/>
        </w:rPr>
        <w:t>4.4 R-08 — warehouse recovery</w:t>
      </w:r>
    </w:p>
    <w:p>
      <w:r>
        <w:t>High. Open. The enterprise data warehouse is the program's only new build, so it inherits no backup regime, no tested runbook and no restore history. It is Tier 2 — RTO 72 hours, RPO 24 hours — with seven gate conditions that must be evidenced before go-live, including a full restore tested end to end. ⚠ For a warehouse, durability matters more than availability: a 72-hour outage is survivable, but losing a quality measurement year is not recoverable at any recovery time objective.</w:t>
      </w:r>
    </w:p>
    <w:p>
      <w:pPr>
        <w:spacing w:before="320"/>
      </w:pPr>
      <w:r>
        <w:rPr>
          <w:b/>
          <w:color w:val="12304A"/>
          <w:sz w:val="28"/>
        </w:rPr>
        <w:t>5. Closed and Realized</w:t>
      </w:r>
    </w:p>
    <w:p>
      <w:pPr>
        <w:spacing w:before="200"/>
      </w:pPr>
      <w:r>
        <w:rPr>
          <w:b/>
          <w:color w:val="2B5F8E"/>
          <w:sz w:val="23"/>
        </w:rPr>
        <w:t>5.1 Closed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Risk</w:t>
            </w:r>
          </w:p>
        </w:tc>
        <w:tc>
          <w:tcPr>
            <w:tcW w:type="dxa" w:w="3216"/>
          </w:tcPr>
          <w:p>
            <w:r>
              <w:rPr>
                <w:b/>
                <w:sz w:val="17"/>
              </w:rPr>
              <w:t>Why it closed</w:t>
            </w:r>
          </w:p>
        </w:tc>
      </w:tr>
      <w:tr>
        <w:tc>
          <w:tcPr>
            <w:tcW w:type="dxa" w:w="3216"/>
          </w:tcPr>
          <w:p>
            <w:r>
              <w:rPr>
                <w:sz w:val="17"/>
              </w:rPr>
              <w:t>R-C1</w:t>
            </w:r>
          </w:p>
        </w:tc>
        <w:tc>
          <w:tcPr>
            <w:tcW w:type="dxa" w:w="3216"/>
          </w:tcPr>
          <w:p>
            <w:r>
              <w:rPr>
                <w:sz w:val="17"/>
              </w:rPr>
              <w:t>Regulatory approval delayed or conditioned unfavorably</w:t>
            </w:r>
          </w:p>
        </w:tc>
        <w:tc>
          <w:tcPr>
            <w:tcW w:type="dxa" w:w="3216"/>
          </w:tcPr>
          <w:p>
            <w:r>
              <w:rPr>
                <w:sz w:val="17"/>
              </w:rPr>
              <w:t>Form A approved. One condition applies and converted to R-07.</w:t>
            </w:r>
          </w:p>
        </w:tc>
      </w:tr>
      <w:tr>
        <w:tc>
          <w:tcPr>
            <w:tcW w:type="dxa" w:w="3216"/>
          </w:tcPr>
          <w:p>
            <w:r>
              <w:rPr>
                <w:sz w:val="17"/>
              </w:rPr>
              <w:t>R-C2</w:t>
            </w:r>
          </w:p>
        </w:tc>
        <w:tc>
          <w:tcPr>
            <w:tcW w:type="dxa" w:w="3216"/>
          </w:tcPr>
          <w:p>
            <w:r>
              <w:rPr>
                <w:sz w:val="17"/>
              </w:rPr>
              <w:t>Day 1 payroll or benefits failure</w:t>
            </w:r>
          </w:p>
        </w:tc>
        <w:tc>
          <w:tcPr>
            <w:tcW w:type="dxa" w:w="3216"/>
          </w:tcPr>
          <w:p>
            <w:r>
              <w:rPr>
                <w:sz w:val="17"/>
              </w:rPr>
              <w:t>Passed. HRIS and payroll migrated at month three with a parallel cycle run first.</w:t>
            </w:r>
          </w:p>
        </w:tc>
      </w:tr>
      <w:tr>
        <w:tc>
          <w:tcPr>
            <w:tcW w:type="dxa" w:w="3216"/>
          </w:tcPr>
          <w:p>
            <w:r>
              <w:rPr>
                <w:sz w:val="17"/>
              </w:rPr>
              <w:t>R-C3</w:t>
            </w:r>
          </w:p>
        </w:tc>
        <w:tc>
          <w:tcPr>
            <w:tcW w:type="dxa" w:w="3216"/>
          </w:tcPr>
          <w:p>
            <w:r>
              <w:rPr>
                <w:sz w:val="17"/>
              </w:rPr>
              <w:t>Platform capacity insufficient for combined volume</w:t>
            </w:r>
          </w:p>
        </w:tc>
        <w:tc>
          <w:tcPr>
            <w:tcW w:type="dxa" w:w="3216"/>
          </w:tcPr>
          <w:p>
            <w:r>
              <w:rPr>
                <w:sz w:val="17"/>
              </w:rPr>
              <w:t>Load analysis confirmed headroom post-close</w:t>
            </w:r>
          </w:p>
        </w:tc>
      </w:tr>
      <w:tr>
        <w:tc>
          <w:tcPr>
            <w:tcW w:type="dxa" w:w="3216"/>
          </w:tcPr>
          <w:p>
            <w:r>
              <w:rPr>
                <w:sz w:val="17"/>
              </w:rPr>
              <w:t>R-C4</w:t>
            </w:r>
          </w:p>
        </w:tc>
        <w:tc>
          <w:tcPr>
            <w:tcW w:type="dxa" w:w="3216"/>
          </w:tcPr>
          <w:p>
            <w:r>
              <w:rPr>
                <w:sz w:val="17"/>
              </w:rPr>
              <w:t>Landing zone not ready before first migration wave</w:t>
            </w:r>
          </w:p>
        </w:tc>
        <w:tc>
          <w:tcPr>
            <w:tcW w:type="dxa" w:w="3216"/>
          </w:tcPr>
          <w:p>
            <w:r>
              <w:rPr>
                <w:sz w:val="17"/>
              </w:rPr>
              <w:t>Accepted against ten evidenced conditions; Wave 1 proceeded</w:t>
            </w:r>
          </w:p>
        </w:tc>
      </w:tr>
    </w:tbl>
    <w:p/>
    <w:p>
      <w:pPr>
        <w:spacing w:before="120"/>
        <w:ind w:left="360"/>
      </w:pPr>
      <w:r>
        <w:rPr>
          <w:i/>
          <w:color w:val="12304A"/>
          <w:sz w:val="20"/>
        </w:rPr>
        <w:t>A register where nothing ever closes is not being managed, it is being accumulated. Risks that have passed their window, or whose triggering condition can no longer occur, are closed with a reason — otherwise the register grows monotonically and its top ten stops meaning anything. Four closures in four months against eighteen open is a reasonable ratio; zero closures would be the signal that nobody is reviewing it.</w:t>
      </w:r>
    </w:p>
    <w:p>
      <w:pPr>
        <w:spacing w:before="200"/>
      </w:pPr>
      <w:r>
        <w:rPr>
          <w:b/>
          <w:color w:val="2B5F8E"/>
          <w:sz w:val="23"/>
        </w:rPr>
        <w:t>5.2 Realized — moved to issue management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Was</w:t>
            </w:r>
          </w:p>
        </w:tc>
        <w:tc>
          <w:tcPr>
            <w:tcW w:type="dxa" w:w="3216"/>
          </w:tcPr>
          <w:p>
            <w:r>
              <w:rPr>
                <w:b/>
                <w:sz w:val="17"/>
              </w:rPr>
              <w:t>Now</w:t>
            </w:r>
          </w:p>
        </w:tc>
      </w:tr>
      <w:tr>
        <w:tc>
          <w:tcPr>
            <w:tcW w:type="dxa" w:w="3216"/>
          </w:tcPr>
          <w:p>
            <w:r>
              <w:rPr>
                <w:sz w:val="17"/>
              </w:rPr>
              <w:t>I-01</w:t>
            </w:r>
          </w:p>
        </w:tc>
        <w:tc>
          <w:tcPr>
            <w:tcW w:type="dxa" w:w="3216"/>
          </w:tcPr>
          <w:p>
            <w:r>
              <w:rPr>
                <w:sz w:val="17"/>
              </w:rPr>
              <w:t>Provider directory discrepancies between the two networks</w:t>
            </w:r>
          </w:p>
        </w:tc>
        <w:tc>
          <w:tcPr>
            <w:tcW w:type="dxa" w:w="3216"/>
          </w:tcPr>
          <w:p>
            <w:r>
              <w:rPr>
                <w:sz w:val="17"/>
              </w:rPr>
              <w:t>Issue. Remediation underway ahead of network rationalization.</w:t>
            </w:r>
          </w:p>
        </w:tc>
      </w:tr>
      <w:tr>
        <w:tc>
          <w:tcPr>
            <w:tcW w:type="dxa" w:w="3216"/>
          </w:tcPr>
          <w:p>
            <w:r>
              <w:rPr>
                <w:sz w:val="17"/>
              </w:rPr>
              <w:t>I-02</w:t>
            </w:r>
          </w:p>
        </w:tc>
        <w:tc>
          <w:tcPr>
            <w:tcW w:type="dxa" w:w="3216"/>
          </w:tcPr>
          <w:p>
            <w:r>
              <w:rPr>
                <w:sz w:val="17"/>
              </w:rPr>
              <w:t>Trading partner re-registration slower than planned</w:t>
            </w:r>
          </w:p>
        </w:tc>
        <w:tc>
          <w:tcPr>
            <w:tcW w:type="dxa" w:w="3216"/>
          </w:tcPr>
          <w:p>
            <w:r>
              <w:rPr>
                <w:sz w:val="17"/>
              </w:rPr>
              <w:t>Issue. Externally paced; clearinghouse exit re-sequenced accordingly.</w:t>
            </w:r>
          </w:p>
        </w:tc>
      </w:tr>
      <w:tr>
        <w:tc>
          <w:tcPr>
            <w:tcW w:type="dxa" w:w="3216"/>
          </w:tcPr>
          <w:p>
            <w:r>
              <w:rPr>
                <w:sz w:val="17"/>
              </w:rPr>
              <w:t>I-03</w:t>
            </w:r>
          </w:p>
        </w:tc>
        <w:tc>
          <w:tcPr>
            <w:tcW w:type="dxa" w:w="3216"/>
          </w:tcPr>
          <w:p>
            <w:r>
              <w:rPr>
                <w:sz w:val="17"/>
              </w:rPr>
              <w:t>Discovery revealed integration scope beyond the deal-model estimate</w:t>
            </w:r>
          </w:p>
        </w:tc>
        <w:tc>
          <w:tcPr>
            <w:tcW w:type="dxa" w:w="3216"/>
          </w:tcPr>
          <w:p>
            <w:r>
              <w:rPr>
                <w:sz w:val="17"/>
              </w:rPr>
              <w:t>Issue, resolved through the January re-baseline</w:t>
            </w:r>
          </w:p>
        </w:tc>
      </w:tr>
    </w:tbl>
    <w:p/>
    <w:p>
      <w:pPr>
        <w:spacing w:before="320"/>
      </w:pPr>
      <w:r>
        <w:rPr>
          <w:b/>
          <w:color w:val="12304A"/>
          <w:sz w:val="28"/>
        </w:rPr>
        <w:t>6. Ownership and Escalation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Provision</w:t>
            </w:r>
          </w:p>
        </w:tc>
        <w:tc>
          <w:tcPr>
            <w:tcW w:type="dxa" w:w="4824"/>
          </w:tcPr>
          <w:p>
            <w:r>
              <w:rPr>
                <w:b/>
                <w:sz w:val="17"/>
              </w:rPr>
              <w:t>Detail</w:t>
            </w:r>
          </w:p>
        </w:tc>
      </w:tr>
      <w:tr>
        <w:tc>
          <w:tcPr>
            <w:tcW w:type="dxa" w:w="4824"/>
          </w:tcPr>
          <w:p>
            <w:r>
              <w:rPr>
                <w:sz w:val="17"/>
              </w:rPr>
              <w:t>Risk owner</w:t>
            </w:r>
          </w:p>
        </w:tc>
        <w:tc>
          <w:tcPr>
            <w:tcW w:type="dxa" w:w="4824"/>
          </w:tcPr>
          <w:p>
            <w:r>
              <w:rPr>
                <w:sz w:val="17"/>
              </w:rPr>
              <w:t>⚠ Always the person who can act on it, never the Program Manager. The IMO administers the register; it does not own the risks.</w:t>
            </w:r>
          </w:p>
        </w:tc>
      </w:tr>
      <w:tr>
        <w:tc>
          <w:tcPr>
            <w:tcW w:type="dxa" w:w="4824"/>
          </w:tcPr>
          <w:p>
            <w:r>
              <w:rPr>
                <w:sz w:val="17"/>
              </w:rPr>
              <w:t>Review cadence</w:t>
            </w:r>
          </w:p>
        </w:tc>
        <w:tc>
          <w:tcPr>
            <w:tcW w:type="dxa" w:w="4824"/>
          </w:tcPr>
          <w:p>
            <w:r>
              <w:rPr>
                <w:sz w:val="17"/>
              </w:rPr>
              <w:t>Workstream weekly; full register monthly with the Steering Committee</w:t>
            </w:r>
          </w:p>
        </w:tc>
      </w:tr>
      <w:tr>
        <w:tc>
          <w:tcPr>
            <w:tcW w:type="dxa" w:w="4824"/>
          </w:tcPr>
          <w:p>
            <w:r>
              <w:rPr>
                <w:sz w:val="17"/>
              </w:rPr>
              <w:t>Critical exposure</w:t>
            </w:r>
          </w:p>
        </w:tc>
        <w:tc>
          <w:tcPr>
            <w:tcW w:type="dxa" w:w="4824"/>
          </w:tcPr>
          <w:p>
            <w:r>
              <w:rPr>
                <w:sz w:val="17"/>
              </w:rPr>
              <w:t>Reviewed at every Steering meeting regardless of movement</w:t>
            </w:r>
          </w:p>
        </w:tc>
      </w:tr>
      <w:tr>
        <w:tc>
          <w:tcPr>
            <w:tcW w:type="dxa" w:w="4824"/>
          </w:tcPr>
          <w:p>
            <w:r>
              <w:rPr>
                <w:sz w:val="17"/>
              </w:rPr>
              <w:t>Escalation trigger</w:t>
            </w:r>
          </w:p>
        </w:tc>
        <w:tc>
          <w:tcPr>
            <w:tcW w:type="dxa" w:w="4824"/>
          </w:tcPr>
          <w:p>
            <w:r>
              <w:rPr>
                <w:sz w:val="17"/>
              </w:rPr>
              <w:t>Any risk threatening a rank 1 or 2 constraint escalates immediately, not at the next cadence</w:t>
            </w:r>
          </w:p>
        </w:tc>
      </w:tr>
      <w:tr>
        <w:tc>
          <w:tcPr>
            <w:tcW w:type="dxa" w:w="4824"/>
          </w:tcPr>
          <w:p>
            <w:r>
              <w:rPr>
                <w:sz w:val="17"/>
              </w:rPr>
              <w:t>Acceptance</w:t>
            </w:r>
          </w:p>
        </w:tc>
        <w:tc>
          <w:tcPr>
            <w:tcW w:type="dxa" w:w="4824"/>
          </w:tcPr>
          <w:p>
            <w:r>
              <w:rPr>
                <w:sz w:val="17"/>
              </w:rPr>
              <w:t>Accepting a risk requires a named accepter at the appropriate level. ⚠ Nobody accepts a risk anonymously.</w:t>
            </w:r>
          </w:p>
        </w:tc>
      </w:tr>
      <w:tr>
        <w:tc>
          <w:tcPr>
            <w:tcW w:type="dxa" w:w="4824"/>
          </w:tcPr>
          <w:p>
            <w:r>
              <w:rPr>
                <w:sz w:val="17"/>
              </w:rPr>
              <w:t>Closure</w:t>
            </w:r>
          </w:p>
        </w:tc>
        <w:tc>
          <w:tcPr>
            <w:tcW w:type="dxa" w:w="4824"/>
          </w:tcPr>
          <w:p>
            <w:r>
              <w:rPr>
                <w:sz w:val="17"/>
              </w:rPr>
              <w:t>Requires a stated reason. "No longer discussed" is not closure.</w:t>
            </w:r>
          </w:p>
        </w:tc>
      </w:tr>
    </w:tbl>
    <w:p/>
    <w:p>
      <w:pPr>
        <w:spacing w:before="120"/>
        <w:ind w:left="360"/>
      </w:pPr>
      <w:r>
        <w:rPr>
          <w:i/>
          <w:color w:val="12304A"/>
          <w:sz w:val="20"/>
        </w:rPr>
        <w:t>The first row is the one that decides whether a register works. It is tempting for the Program Manager to own every risk, because the PM is the one maintaining the document and chasing the updates. It is also useless: a risk owned by someone with no authority to change the outcome produces status reporting rather than mitigation. The owner must be the person who can spend the money, change the sequence, or make the call — which for this program means fourteen different executives own the eighteen open risks, and the IMO owns none of them.</w:t>
      </w:r>
    </w:p>
    <w:p>
      <w:pPr>
        <w:spacing w:before="120"/>
        <w:ind w:left="360"/>
      </w:pPr>
      <w:r>
        <w:rPr>
          <w:i/>
          <w:color w:val="12304A"/>
          <w:sz w:val="20"/>
        </w:rPr>
        <w:t>On R-07 being marked "Accepted" rather than mitigated — that is a real disposition, not a failure to try. A state regulatory condition on data processing location is not something a program can mitigate; it can only be complied with. Recording it as accepted, with a named accepter and the constraint reflected in resourcing and platform policy, is more honest than inventing a mitigation that amounts to "we will follow the law." Registers that contain no accepted risks are usually registers where acceptance is happening without a name against it.</w:t>
      </w:r>
    </w:p>
    <w:p>
      <w:r>
        <w:t>Related artifacts: 1 — Integration Charter · 7 — Due Diligence Findings · 13 — Synergy Realization Plan · 21 — Vendor &amp; Contract Disposition Matrix · 23 — Data Migration &amp; EMPI Strategy · 34 — Cloud Landing Zone Design · 35 — Cloud Migration Wave Plan · 31 — Data Profiling Report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