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SOW-04 · UNDER ARTIFACT 21A ·</w:t>
      </w:r>
    </w:p>
    <w:p>
      <w:r>
        <w:rPr>
          <w:b/>
          <w:color w:val="12304A"/>
          <w:sz w:val="44"/>
        </w:rPr>
        <w:t>SOW-04 Data Steward Staff Augmentation</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Qualified data stewards to work the clerical review queue produced by identity resolution. ⚠ This is a staff augmentation instrument: ACME directs the work and ACME owns the outcome. Supplier's obligation is to supply, replace and retain qualified people — not to deliver a result.</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Two Rivers Talent Partners</w:t>
            </w:r>
          </w:p>
        </w:tc>
      </w:tr>
      <w:tr>
        <w:tc>
          <w:tcPr>
            <w:tcW w:type="dxa" w:w="4824"/>
          </w:tcPr>
          <w:p>
            <w:r>
              <w:rPr>
                <w:sz w:val="17"/>
              </w:rPr>
              <w:t>Instrument</w:t>
            </w:r>
          </w:p>
        </w:tc>
        <w:tc>
          <w:tcPr>
            <w:tcW w:type="dxa" w:w="4824"/>
          </w:tcPr>
          <w:p>
            <w:r>
              <w:rPr>
                <w:sz w:val="17"/>
              </w:rPr>
              <w:t>SOW-04, issued under the Master Services Agreement</w:t>
            </w:r>
          </w:p>
        </w:tc>
      </w:tr>
      <w:tr>
        <w:tc>
          <w:tcPr>
            <w:tcW w:type="dxa" w:w="4824"/>
          </w:tcPr>
          <w:p>
            <w:r>
              <w:rPr>
                <w:sz w:val="17"/>
              </w:rPr>
              <w:t>Vendor register reference</w:t>
            </w:r>
          </w:p>
        </w:tc>
        <w:tc>
          <w:tcPr>
            <w:tcW w:type="dxa" w:w="4824"/>
          </w:tcPr>
          <w:p>
            <w:r>
              <w:rPr>
                <w:sz w:val="17"/>
              </w:rPr>
              <w:t>VN-04 in the Vendor Management Plan</w:t>
            </w:r>
          </w:p>
        </w:tc>
      </w:tr>
      <w:tr>
        <w:tc>
          <w:tcPr>
            <w:tcW w:type="dxa" w:w="4824"/>
          </w:tcPr>
          <w:p>
            <w:r>
              <w:rPr>
                <w:sz w:val="17"/>
              </w:rPr>
              <w:t>Vehicle</w:t>
            </w:r>
          </w:p>
        </w:tc>
        <w:tc>
          <w:tcPr>
            <w:tcW w:type="dxa" w:w="4824"/>
          </w:tcPr>
          <w:p>
            <w:r>
              <w:rPr>
                <w:sz w:val="17"/>
              </w:rPr>
              <w:t>Time and materials, staff augmentation</w:t>
            </w:r>
          </w:p>
        </w:tc>
      </w:tr>
      <w:tr>
        <w:tc>
          <w:tcPr>
            <w:tcW w:type="dxa" w:w="4824"/>
          </w:tcPr>
          <w:p>
            <w:r>
              <w:rPr>
                <w:sz w:val="17"/>
              </w:rPr>
              <w:t>ACME owner</w:t>
            </w:r>
          </w:p>
        </w:tc>
        <w:tc>
          <w:tcPr>
            <w:tcW w:type="dxa" w:w="4824"/>
          </w:tcPr>
          <w:p>
            <w:r>
              <w:rPr>
                <w:sz w:val="17"/>
              </w:rPr>
              <w:t>T. Vandiver, Data Steward Supervisor</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From closing until the clerical review queue is cleared and accepted.</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Qualified stewards</w:t>
            </w:r>
          </w:p>
        </w:tc>
        <w:tc>
          <w:tcPr>
            <w:tcW w:type="dxa" w:w="3216"/>
          </w:tcPr>
          <w:p>
            <w:r>
              <w:rPr>
                <w:sz w:val="17"/>
              </w:rPr>
              <w:t>Individuals with healthcare data experience, background-checked and HIPAA-trained before access.</w:t>
            </w:r>
          </w:p>
        </w:tc>
      </w:tr>
      <w:tr>
        <w:tc>
          <w:tcPr>
            <w:tcW w:type="dxa" w:w="3216"/>
          </w:tcPr>
          <w:p>
            <w:r>
              <w:rPr>
                <w:sz w:val="17"/>
              </w:rPr>
              <w:t>SC-02</w:t>
            </w:r>
          </w:p>
        </w:tc>
        <w:tc>
          <w:tcPr>
            <w:tcW w:type="dxa" w:w="3216"/>
          </w:tcPr>
          <w:p>
            <w:r>
              <w:rPr>
                <w:sz w:val="17"/>
              </w:rPr>
              <w:t>Onshore performance</w:t>
            </w:r>
          </w:p>
        </w:tc>
        <w:tc>
          <w:tcPr>
            <w:tcW w:type="dxa" w:w="3216"/>
          </w:tcPr>
          <w:p>
            <w:r>
              <w:rPr>
                <w:sz w:val="17"/>
              </w:rPr>
              <w:t>⚠ All work performed within the United States. No exceptions, no offshore overflow, no remote access from outside the country.</w:t>
            </w:r>
          </w:p>
        </w:tc>
      </w:tr>
      <w:tr>
        <w:tc>
          <w:tcPr>
            <w:tcW w:type="dxa" w:w="3216"/>
          </w:tcPr>
          <w:p>
            <w:r>
              <w:rPr>
                <w:sz w:val="17"/>
              </w:rPr>
              <w:t>SC-03</w:t>
            </w:r>
          </w:p>
        </w:tc>
        <w:tc>
          <w:tcPr>
            <w:tcW w:type="dxa" w:w="3216"/>
          </w:tcPr>
          <w:p>
            <w:r>
              <w:rPr>
                <w:sz w:val="17"/>
              </w:rPr>
              <w:t>Replacement obligation</w:t>
            </w:r>
          </w:p>
        </w:tc>
        <w:tc>
          <w:tcPr>
            <w:tcW w:type="dxa" w:w="3216"/>
          </w:tcPr>
          <w:p>
            <w:r>
              <w:rPr>
                <w:sz w:val="17"/>
              </w:rPr>
              <w:t>A departing steward is replaced within 10 business days, with the replacement productive within a further 15.</w:t>
            </w:r>
          </w:p>
        </w:tc>
      </w:tr>
      <w:tr>
        <w:tc>
          <w:tcPr>
            <w:tcW w:type="dxa" w:w="3216"/>
          </w:tcPr>
          <w:p>
            <w:r>
              <w:rPr>
                <w:sz w:val="17"/>
              </w:rPr>
              <w:t>SC-04</w:t>
            </w:r>
          </w:p>
        </w:tc>
        <w:tc>
          <w:tcPr>
            <w:tcW w:type="dxa" w:w="3216"/>
          </w:tcPr>
          <w:p>
            <w:r>
              <w:rPr>
                <w:sz w:val="17"/>
              </w:rPr>
              <w:t>Supervision interface</w:t>
            </w:r>
          </w:p>
        </w:tc>
        <w:tc>
          <w:tcPr>
            <w:tcW w:type="dxa" w:w="3216"/>
          </w:tcPr>
          <w:p>
            <w:r>
              <w:rPr>
                <w:sz w:val="17"/>
              </w:rPr>
              <w:t>Stewards work to ACME's standard operating procedures and report to ACME's Data Steward Supervisor for work assignment.</w:t>
            </w:r>
          </w:p>
        </w:tc>
      </w:tr>
      <w:tr>
        <w:tc>
          <w:tcPr>
            <w:tcW w:type="dxa" w:w="3216"/>
          </w:tcPr>
          <w:p>
            <w:r>
              <w:rPr>
                <w:sz w:val="17"/>
              </w:rPr>
              <w:t>SC-05</w:t>
            </w:r>
          </w:p>
        </w:tc>
        <w:tc>
          <w:tcPr>
            <w:tcW w:type="dxa" w:w="3216"/>
          </w:tcPr>
          <w:p>
            <w:r>
              <w:rPr>
                <w:sz w:val="17"/>
              </w:rPr>
              <w:t>Retention</w:t>
            </w:r>
          </w:p>
        </w:tc>
        <w:tc>
          <w:tcPr>
            <w:tcW w:type="dxa" w:w="3216"/>
          </w:tcPr>
          <w:p>
            <w:r>
              <w:rPr>
                <w:sz w:val="17"/>
              </w:rPr>
              <w:t>Supplier is measured on retention and time-to-productive, ⚠ not on hours billed.</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Stewards onboarded and access-provisioned</w:t>
            </w:r>
          </w:p>
        </w:tc>
        <w:tc>
          <w:tcPr>
            <w:tcW w:type="dxa" w:w="3216"/>
          </w:tcPr>
          <w:p>
            <w:r>
              <w:rPr>
                <w:sz w:val="17"/>
              </w:rPr>
              <w:t>Background checks, HIPAA training and system access complete</w:t>
            </w:r>
          </w:p>
        </w:tc>
      </w:tr>
      <w:tr>
        <w:tc>
          <w:tcPr>
            <w:tcW w:type="dxa" w:w="3216"/>
          </w:tcPr>
          <w:p>
            <w:r>
              <w:rPr>
                <w:sz w:val="17"/>
              </w:rPr>
              <w:t>DL-02</w:t>
            </w:r>
          </w:p>
        </w:tc>
        <w:tc>
          <w:tcPr>
            <w:tcW w:type="dxa" w:w="3216"/>
          </w:tcPr>
          <w:p>
            <w:r>
              <w:rPr>
                <w:sz w:val="17"/>
              </w:rPr>
              <w:t>Monthly retention and productivity report</w:t>
            </w:r>
          </w:p>
        </w:tc>
        <w:tc>
          <w:tcPr>
            <w:tcW w:type="dxa" w:w="3216"/>
          </w:tcPr>
          <w:p>
            <w:r>
              <w:rPr>
                <w:sz w:val="17"/>
              </w:rPr>
              <w:t>Headcount, departures, time-to-productive for each replacement</w:t>
            </w:r>
          </w:p>
        </w:tc>
      </w:tr>
      <w:tr>
        <w:tc>
          <w:tcPr>
            <w:tcW w:type="dxa" w:w="3216"/>
          </w:tcPr>
          <w:p>
            <w:r>
              <w:rPr>
                <w:sz w:val="17"/>
              </w:rPr>
              <w:t>DL-03</w:t>
            </w:r>
          </w:p>
        </w:tc>
        <w:tc>
          <w:tcPr>
            <w:tcW w:type="dxa" w:w="3216"/>
          </w:tcPr>
          <w:p>
            <w:r>
              <w:rPr>
                <w:sz w:val="17"/>
              </w:rPr>
              <w:t>Timesheets reconciled to ACME's queue records</w:t>
            </w:r>
          </w:p>
        </w:tc>
        <w:tc>
          <w:tcPr>
            <w:tcW w:type="dxa" w:w="3216"/>
          </w:tcPr>
          <w:p>
            <w:r>
              <w:rPr>
                <w:sz w:val="17"/>
              </w:rPr>
              <w:t>⚠ Hours billed reconcile to decisions recorded in the workbench</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Replacement</w:t>
            </w:r>
          </w:p>
        </w:tc>
        <w:tc>
          <w:tcPr>
            <w:tcW w:type="dxa" w:w="2412"/>
          </w:tcPr>
          <w:p>
            <w:r>
              <w:rPr>
                <w:sz w:val="17"/>
              </w:rPr>
              <w:t>10 business days</w:t>
            </w:r>
          </w:p>
        </w:tc>
        <w:tc>
          <w:tcPr>
            <w:tcW w:type="dxa" w:w="2412"/>
          </w:tcPr>
          <w:p>
            <w:r>
              <w:rPr>
                <w:sz w:val="17"/>
              </w:rPr>
              <w:t>—</w:t>
            </w:r>
          </w:p>
        </w:tc>
        <w:tc>
          <w:tcPr>
            <w:tcW w:type="dxa" w:w="2412"/>
          </w:tcPr>
          <w:p>
            <w:r>
              <w:rPr>
                <w:sz w:val="17"/>
              </w:rPr>
              <w:t>From notice of departure</w:t>
            </w:r>
          </w:p>
        </w:tc>
      </w:tr>
      <w:tr>
        <w:tc>
          <w:tcPr>
            <w:tcW w:type="dxa" w:w="2412"/>
          </w:tcPr>
          <w:p>
            <w:r>
              <w:rPr>
                <w:sz w:val="17"/>
              </w:rPr>
              <w:t>Time to productive</w:t>
            </w:r>
          </w:p>
        </w:tc>
        <w:tc>
          <w:tcPr>
            <w:tcW w:type="dxa" w:w="2412"/>
          </w:tcPr>
          <w:p>
            <w:r>
              <w:rPr>
                <w:sz w:val="17"/>
              </w:rPr>
              <w:t>15 business days</w:t>
            </w:r>
          </w:p>
        </w:tc>
        <w:tc>
          <w:tcPr>
            <w:tcW w:type="dxa" w:w="2412"/>
          </w:tcPr>
          <w:p>
            <w:r>
              <w:rPr>
                <w:sz w:val="17"/>
              </w:rPr>
              <w:t>—</w:t>
            </w:r>
          </w:p>
        </w:tc>
        <w:tc>
          <w:tcPr>
            <w:tcW w:type="dxa" w:w="2412"/>
          </w:tcPr>
          <w:p>
            <w:r>
              <w:rPr>
                <w:sz w:val="17"/>
              </w:rPr>
              <w:t>From start date</w:t>
            </w:r>
          </w:p>
        </w:tc>
      </w:tr>
      <w:tr>
        <w:tc>
          <w:tcPr>
            <w:tcW w:type="dxa" w:w="2412"/>
          </w:tcPr>
          <w:p>
            <w:r>
              <w:rPr>
                <w:sz w:val="17"/>
              </w:rPr>
              <w:t>Retention</w:t>
            </w:r>
          </w:p>
        </w:tc>
        <w:tc>
          <w:tcPr>
            <w:tcW w:type="dxa" w:w="2412"/>
          </w:tcPr>
          <w:p>
            <w:r>
              <w:rPr>
                <w:sz w:val="17"/>
              </w:rPr>
              <w:t>Above 80% at 6 months</w:t>
            </w:r>
          </w:p>
        </w:tc>
        <w:tc>
          <w:tcPr>
            <w:tcW w:type="dxa" w:w="2412"/>
          </w:tcPr>
          <w:p>
            <w:r>
              <w:rPr>
                <w:sz w:val="17"/>
              </w:rPr>
              <w:t>—</w:t>
            </w:r>
          </w:p>
        </w:tc>
        <w:tc>
          <w:tcPr>
            <w:tcW w:type="dxa" w:w="2412"/>
          </w:tcPr>
          <w:p>
            <w:r>
              <w:rPr>
                <w:sz w:val="17"/>
              </w:rPr>
              <w:t>⚠ Measured, and priced</w:t>
            </w:r>
          </w:p>
        </w:tc>
      </w:tr>
      <w:tr>
        <w:tc>
          <w:tcPr>
            <w:tcW w:type="dxa" w:w="2412"/>
          </w:tcPr>
          <w:p>
            <w:r>
              <w:rPr>
                <w:sz w:val="17"/>
              </w:rPr>
              <w:t>Quality sampling</w:t>
            </w:r>
          </w:p>
        </w:tc>
        <w:tc>
          <w:tcPr>
            <w:tcW w:type="dxa" w:w="2412"/>
          </w:tcPr>
          <w:p>
            <w:r>
              <w:rPr>
                <w:sz w:val="17"/>
              </w:rPr>
              <w:t>Weekly</w:t>
            </w:r>
          </w:p>
        </w:tc>
        <w:tc>
          <w:tcPr>
            <w:tcW w:type="dxa" w:w="2412"/>
          </w:tcPr>
          <w:p>
            <w:r>
              <w:rPr>
                <w:sz w:val="17"/>
              </w:rPr>
              <w:t>—</w:t>
            </w:r>
          </w:p>
        </w:tc>
        <w:tc>
          <w:tcPr>
            <w:tcW w:type="dxa" w:w="2412"/>
          </w:tcPr>
          <w:p>
            <w:r>
              <w:rPr>
                <w:sz w:val="17"/>
              </w:rPr>
              <w:t>ACME-run audit of steward decisions</w:t>
            </w:r>
          </w:p>
        </w:tc>
      </w:tr>
    </w:tbl>
    <w:p/>
    <w:p>
      <w:pPr>
        <w:spacing w:before="320"/>
      </w:pPr>
      <w:r>
        <w:rPr>
          <w:b/>
          <w:color w:val="12304A"/>
          <w:sz w:val="28"/>
        </w:rPr>
        <w:t>5. Warranty, Support and Version Obligations</w:t>
      </w:r>
    </w:p>
    <w:p>
      <w:pPr>
        <w:spacing w:before="120"/>
        <w:ind w:left="360"/>
      </w:pPr>
      <w:r>
        <w:rPr>
          <w:i/>
          <w:color w:val="12304A"/>
          <w:sz w:val="20"/>
        </w:rPr>
        <w:t>No §5 terms apply, and the absence is the point. This instrument buys people, not a product — there is nothing to warrant, patch or upgrade. What replaces them is the co-employment guardrail below, which exists because ACME directing the work is exactly what makes the vehicle useful and exactly what creates the exposure.</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Two Rivers Talent Partners.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Work product, including every steward decision and its audit trail, is the property of ACME Health.</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