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SOW-03 · UNDER ARTIFACT 21A ·</w:t>
      </w:r>
    </w:p>
    <w:p>
      <w:r>
        <w:rPr>
          <w:b/>
          <w:color w:val="12304A"/>
          <w:sz w:val="44"/>
        </w:rPr>
        <w:t>SOW-03 X12 Transaction Assurance</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Independent assurance that X12 transactions produced and consumed by the combined entity are correct, complete and accepted by trading partners. ⚠ Supplier owns the outcome under this instrument: ACME defines what correct means and Supplier determines how to demonstrate it.</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Gallatin EDI Assurance</w:t>
            </w:r>
          </w:p>
        </w:tc>
      </w:tr>
      <w:tr>
        <w:tc>
          <w:tcPr>
            <w:tcW w:type="dxa" w:w="4824"/>
          </w:tcPr>
          <w:p>
            <w:r>
              <w:rPr>
                <w:sz w:val="17"/>
              </w:rPr>
              <w:t>Instrument</w:t>
            </w:r>
          </w:p>
        </w:tc>
        <w:tc>
          <w:tcPr>
            <w:tcW w:type="dxa" w:w="4824"/>
          </w:tcPr>
          <w:p>
            <w:r>
              <w:rPr>
                <w:sz w:val="17"/>
              </w:rPr>
              <w:t>SOW-03, issued under the Master Services Agreement</w:t>
            </w:r>
          </w:p>
        </w:tc>
      </w:tr>
      <w:tr>
        <w:tc>
          <w:tcPr>
            <w:tcW w:type="dxa" w:w="4824"/>
          </w:tcPr>
          <w:p>
            <w:r>
              <w:rPr>
                <w:sz w:val="17"/>
              </w:rPr>
              <w:t>Vendor register reference</w:t>
            </w:r>
          </w:p>
        </w:tc>
        <w:tc>
          <w:tcPr>
            <w:tcW w:type="dxa" w:w="4824"/>
          </w:tcPr>
          <w:p>
            <w:r>
              <w:rPr>
                <w:sz w:val="17"/>
              </w:rPr>
              <w:t>VN-03 in the Vendor Management Plan</w:t>
            </w:r>
          </w:p>
        </w:tc>
      </w:tr>
      <w:tr>
        <w:tc>
          <w:tcPr>
            <w:tcW w:type="dxa" w:w="4824"/>
          </w:tcPr>
          <w:p>
            <w:r>
              <w:rPr>
                <w:sz w:val="17"/>
              </w:rPr>
              <w:t>Vehicle</w:t>
            </w:r>
          </w:p>
        </w:tc>
        <w:tc>
          <w:tcPr>
            <w:tcW w:type="dxa" w:w="4824"/>
          </w:tcPr>
          <w:p>
            <w:r>
              <w:rPr>
                <w:sz w:val="17"/>
              </w:rPr>
              <w:t>Fixed price, deliverable-based</w:t>
            </w:r>
          </w:p>
        </w:tc>
      </w:tr>
      <w:tr>
        <w:tc>
          <w:tcPr>
            <w:tcW w:type="dxa" w:w="4824"/>
          </w:tcPr>
          <w:p>
            <w:r>
              <w:rPr>
                <w:sz w:val="17"/>
              </w:rPr>
              <w:t>ACME owner</w:t>
            </w:r>
          </w:p>
        </w:tc>
        <w:tc>
          <w:tcPr>
            <w:tcW w:type="dxa" w:w="4824"/>
          </w:tcPr>
          <w:p>
            <w:r>
              <w:rPr>
                <w:sz w:val="17"/>
              </w:rPr>
              <w:t>W. Ferriday, VP Claims Operations</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From execution through core administration cutover acceptance.</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834 enrollment and maintenance</w:t>
            </w:r>
          </w:p>
        </w:tc>
        <w:tc>
          <w:tcPr>
            <w:tcW w:type="dxa" w:w="3216"/>
          </w:tcPr>
          <w:p>
            <w:r>
              <w:rPr>
                <w:sz w:val="17"/>
              </w:rPr>
              <w:t>Full-file and change-file semantics per trading partner, effective dating, termination and reinstatement handling.</w:t>
            </w:r>
          </w:p>
        </w:tc>
      </w:tr>
      <w:tr>
        <w:tc>
          <w:tcPr>
            <w:tcW w:type="dxa" w:w="3216"/>
          </w:tcPr>
          <w:p>
            <w:r>
              <w:rPr>
                <w:sz w:val="17"/>
              </w:rPr>
              <w:t>SC-02</w:t>
            </w:r>
          </w:p>
        </w:tc>
        <w:tc>
          <w:tcPr>
            <w:tcW w:type="dxa" w:w="3216"/>
          </w:tcPr>
          <w:p>
            <w:r>
              <w:rPr>
                <w:sz w:val="17"/>
              </w:rPr>
              <w:t>837 claims</w:t>
            </w:r>
          </w:p>
        </w:tc>
        <w:tc>
          <w:tcPr>
            <w:tcW w:type="dxa" w:w="3216"/>
          </w:tcPr>
          <w:p>
            <w:r>
              <w:rPr>
                <w:sz w:val="17"/>
              </w:rPr>
              <w:t>Institutional, professional and dental tested as separate rule sets, not as one format with options.</w:t>
            </w:r>
          </w:p>
        </w:tc>
      </w:tr>
      <w:tr>
        <w:tc>
          <w:tcPr>
            <w:tcW w:type="dxa" w:w="3216"/>
          </w:tcPr>
          <w:p>
            <w:r>
              <w:rPr>
                <w:sz w:val="17"/>
              </w:rPr>
              <w:t>SC-03</w:t>
            </w:r>
          </w:p>
        </w:tc>
        <w:tc>
          <w:tcPr>
            <w:tcW w:type="dxa" w:w="3216"/>
          </w:tcPr>
          <w:p>
            <w:r>
              <w:rPr>
                <w:sz w:val="17"/>
              </w:rPr>
              <w:t>835 remittance</w:t>
            </w:r>
          </w:p>
        </w:tc>
        <w:tc>
          <w:tcPr>
            <w:tcW w:type="dxa" w:w="3216"/>
          </w:tcPr>
          <w:p>
            <w:r>
              <w:rPr>
                <w:sz w:val="17"/>
              </w:rPr>
              <w:t>Reconciled to the payment actually issued, across both paying platforms during coexistence.</w:t>
            </w:r>
          </w:p>
        </w:tc>
      </w:tr>
      <w:tr>
        <w:tc>
          <w:tcPr>
            <w:tcW w:type="dxa" w:w="3216"/>
          </w:tcPr>
          <w:p>
            <w:r>
              <w:rPr>
                <w:sz w:val="17"/>
              </w:rPr>
              <w:t>SC-04</w:t>
            </w:r>
          </w:p>
        </w:tc>
        <w:tc>
          <w:tcPr>
            <w:tcW w:type="dxa" w:w="3216"/>
          </w:tcPr>
          <w:p>
            <w:r>
              <w:rPr>
                <w:sz w:val="17"/>
              </w:rPr>
              <w:t>270/271 eligibility</w:t>
            </w:r>
          </w:p>
        </w:tc>
        <w:tc>
          <w:tcPr>
            <w:tcW w:type="dxa" w:w="3216"/>
          </w:tcPr>
          <w:p>
            <w:r>
              <w:rPr>
                <w:sz w:val="17"/>
              </w:rPr>
              <w:t>Inquiry and response under load, including timeout and error behavior.</w:t>
            </w:r>
          </w:p>
        </w:tc>
      </w:tr>
      <w:tr>
        <w:tc>
          <w:tcPr>
            <w:tcW w:type="dxa" w:w="3216"/>
          </w:tcPr>
          <w:p>
            <w:r>
              <w:rPr>
                <w:sz w:val="17"/>
              </w:rPr>
              <w:t>SC-05</w:t>
            </w:r>
          </w:p>
        </w:tc>
        <w:tc>
          <w:tcPr>
            <w:tcW w:type="dxa" w:w="3216"/>
          </w:tcPr>
          <w:p>
            <w:r>
              <w:rPr>
                <w:sz w:val="17"/>
              </w:rPr>
              <w:t>820 premium payment</w:t>
            </w:r>
          </w:p>
        </w:tc>
        <w:tc>
          <w:tcPr>
            <w:tcW w:type="dxa" w:w="3216"/>
          </w:tcPr>
          <w:p>
            <w:r>
              <w:rPr>
                <w:sz w:val="17"/>
              </w:rPr>
              <w:t>Reconciled against billing at group level.</w:t>
            </w:r>
          </w:p>
        </w:tc>
      </w:tr>
      <w:tr>
        <w:tc>
          <w:tcPr>
            <w:tcW w:type="dxa" w:w="3216"/>
          </w:tcPr>
          <w:p>
            <w:r>
              <w:rPr>
                <w:sz w:val="17"/>
              </w:rPr>
              <w:t>SC-06</w:t>
            </w:r>
          </w:p>
        </w:tc>
        <w:tc>
          <w:tcPr>
            <w:tcW w:type="dxa" w:w="3216"/>
          </w:tcPr>
          <w:p>
            <w:r>
              <w:rPr>
                <w:sz w:val="17"/>
              </w:rPr>
              <w:t>Trading partner readiness</w:t>
            </w:r>
          </w:p>
        </w:tc>
        <w:tc>
          <w:tcPr>
            <w:tcW w:type="dxa" w:w="3216"/>
          </w:tcPr>
          <w:p>
            <w:r>
              <w:rPr>
                <w:sz w:val="17"/>
              </w:rPr>
              <w:t>⚠ Confirmation that each partner has re-registered and successfully exchanged test transactions — not merely that notice was sent.</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Test strategy and traceability</w:t>
            </w:r>
          </w:p>
        </w:tc>
        <w:tc>
          <w:tcPr>
            <w:tcW w:type="dxa" w:w="3216"/>
          </w:tcPr>
          <w:p>
            <w:r>
              <w:rPr>
                <w:sz w:val="17"/>
              </w:rPr>
              <w:t>Every transaction set mapped to the business control that proves it</w:t>
            </w:r>
          </w:p>
        </w:tc>
      </w:tr>
      <w:tr>
        <w:tc>
          <w:tcPr>
            <w:tcW w:type="dxa" w:w="3216"/>
          </w:tcPr>
          <w:p>
            <w:r>
              <w:rPr>
                <w:sz w:val="17"/>
              </w:rPr>
              <w:t>DL-02</w:t>
            </w:r>
          </w:p>
        </w:tc>
        <w:tc>
          <w:tcPr>
            <w:tcW w:type="dxa" w:w="3216"/>
          </w:tcPr>
          <w:p>
            <w:r>
              <w:rPr>
                <w:sz w:val="17"/>
              </w:rPr>
              <w:t>Executed test cycles per transaction set</w:t>
            </w:r>
          </w:p>
        </w:tc>
        <w:tc>
          <w:tcPr>
            <w:tcW w:type="dxa" w:w="3216"/>
          </w:tcPr>
          <w:p>
            <w:r>
              <w:rPr>
                <w:sz w:val="17"/>
              </w:rPr>
              <w:t>⚠ Acceptance is a business-level control total, not a 999 acknowledgment</w:t>
            </w:r>
          </w:p>
        </w:tc>
      </w:tr>
      <w:tr>
        <w:tc>
          <w:tcPr>
            <w:tcW w:type="dxa" w:w="3216"/>
          </w:tcPr>
          <w:p>
            <w:r>
              <w:rPr>
                <w:sz w:val="17"/>
              </w:rPr>
              <w:t>DL-03</w:t>
            </w:r>
          </w:p>
        </w:tc>
        <w:tc>
          <w:tcPr>
            <w:tcW w:type="dxa" w:w="3216"/>
          </w:tcPr>
          <w:p>
            <w:r>
              <w:rPr>
                <w:sz w:val="17"/>
              </w:rPr>
              <w:t>Trading partner readiness register</w:t>
            </w:r>
          </w:p>
        </w:tc>
        <w:tc>
          <w:tcPr>
            <w:tcW w:type="dxa" w:w="3216"/>
          </w:tcPr>
          <w:p>
            <w:r>
              <w:rPr>
                <w:sz w:val="17"/>
              </w:rPr>
              <w:t>Per partner, with evidence of a successful test exchange</w:t>
            </w:r>
          </w:p>
        </w:tc>
      </w:tr>
      <w:tr>
        <w:tc>
          <w:tcPr>
            <w:tcW w:type="dxa" w:w="3216"/>
          </w:tcPr>
          <w:p>
            <w:r>
              <w:rPr>
                <w:sz w:val="17"/>
              </w:rPr>
              <w:t>DL-04</w:t>
            </w:r>
          </w:p>
        </w:tc>
        <w:tc>
          <w:tcPr>
            <w:tcW w:type="dxa" w:w="3216"/>
          </w:tcPr>
          <w:p>
            <w:r>
              <w:rPr>
                <w:sz w:val="17"/>
              </w:rPr>
              <w:t>Defect report with aging</w:t>
            </w:r>
          </w:p>
        </w:tc>
        <w:tc>
          <w:tcPr>
            <w:tcW w:type="dxa" w:w="3216"/>
          </w:tcPr>
          <w:p>
            <w:r>
              <w:rPr>
                <w:sz w:val="17"/>
              </w:rPr>
              <w:t>Counts reported with age; a stable count with rising age is a backlog</w:t>
            </w:r>
          </w:p>
        </w:tc>
      </w:tr>
      <w:tr>
        <w:tc>
          <w:tcPr>
            <w:tcW w:type="dxa" w:w="3216"/>
          </w:tcPr>
          <w:p>
            <w:r>
              <w:rPr>
                <w:sz w:val="17"/>
              </w:rPr>
              <w:t>DL-05</w:t>
            </w:r>
          </w:p>
        </w:tc>
        <w:tc>
          <w:tcPr>
            <w:tcW w:type="dxa" w:w="3216"/>
          </w:tcPr>
          <w:p>
            <w:r>
              <w:rPr>
                <w:sz w:val="17"/>
              </w:rPr>
              <w:t>Assurance opinion at cutover</w:t>
            </w:r>
          </w:p>
        </w:tc>
        <w:tc>
          <w:tcPr>
            <w:tcW w:type="dxa" w:w="3216"/>
          </w:tcPr>
          <w:p>
            <w:r>
              <w:rPr>
                <w:sz w:val="17"/>
              </w:rPr>
              <w:t>Written opinion supporting the go/no-go decision</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Severity 1</w:t>
            </w:r>
          </w:p>
        </w:tc>
        <w:tc>
          <w:tcPr>
            <w:tcW w:type="dxa" w:w="2412"/>
          </w:tcPr>
          <w:p>
            <w:r>
              <w:rPr>
                <w:sz w:val="17"/>
              </w:rPr>
              <w:t>4 hours</w:t>
            </w:r>
          </w:p>
        </w:tc>
        <w:tc>
          <w:tcPr>
            <w:tcW w:type="dxa" w:w="2412"/>
          </w:tcPr>
          <w:p>
            <w:r>
              <w:rPr>
                <w:sz w:val="17"/>
              </w:rPr>
              <w:t>1 business day</w:t>
            </w:r>
          </w:p>
        </w:tc>
        <w:tc>
          <w:tcPr>
            <w:tcW w:type="dxa" w:w="2412"/>
          </w:tcPr>
          <w:p>
            <w:r>
              <w:rPr>
                <w:sz w:val="17"/>
              </w:rPr>
              <w:t>Blocks a test cycle</w:t>
            </w:r>
          </w:p>
        </w:tc>
      </w:tr>
      <w:tr>
        <w:tc>
          <w:tcPr>
            <w:tcW w:type="dxa" w:w="2412"/>
          </w:tcPr>
          <w:p>
            <w:r>
              <w:rPr>
                <w:sz w:val="17"/>
              </w:rPr>
              <w:t>Severity 2</w:t>
            </w:r>
          </w:p>
        </w:tc>
        <w:tc>
          <w:tcPr>
            <w:tcW w:type="dxa" w:w="2412"/>
          </w:tcPr>
          <w:p>
            <w:r>
              <w:rPr>
                <w:sz w:val="17"/>
              </w:rPr>
              <w:t>1 business day</w:t>
            </w:r>
          </w:p>
        </w:tc>
        <w:tc>
          <w:tcPr>
            <w:tcW w:type="dxa" w:w="2412"/>
          </w:tcPr>
          <w:p>
            <w:r>
              <w:rPr>
                <w:sz w:val="17"/>
              </w:rPr>
              <w:t>3 business days</w:t>
            </w:r>
          </w:p>
        </w:tc>
        <w:tc>
          <w:tcPr>
            <w:tcW w:type="dxa" w:w="2412"/>
          </w:tcPr>
          <w:p>
            <w:r>
              <w:rPr>
                <w:sz w:val="17"/>
              </w:rPr>
              <w:t>Blocks a transaction set</w:t>
            </w:r>
          </w:p>
        </w:tc>
      </w:tr>
      <w:tr>
        <w:tc>
          <w:tcPr>
            <w:tcW w:type="dxa" w:w="2412"/>
          </w:tcPr>
          <w:p>
            <w:r>
              <w:rPr>
                <w:sz w:val="17"/>
              </w:rPr>
              <w:t>Severity 3</w:t>
            </w:r>
          </w:p>
        </w:tc>
        <w:tc>
          <w:tcPr>
            <w:tcW w:type="dxa" w:w="2412"/>
          </w:tcPr>
          <w:p>
            <w:r>
              <w:rPr>
                <w:sz w:val="17"/>
              </w:rPr>
              <w:t>2 business days</w:t>
            </w:r>
          </w:p>
        </w:tc>
        <w:tc>
          <w:tcPr>
            <w:tcW w:type="dxa" w:w="2412"/>
          </w:tcPr>
          <w:p>
            <w:r>
              <w:rPr>
                <w:sz w:val="17"/>
              </w:rPr>
              <w:t>10 business days</w:t>
            </w:r>
          </w:p>
        </w:tc>
        <w:tc>
          <w:tcPr>
            <w:tcW w:type="dxa" w:w="2412"/>
          </w:tcPr>
          <w:p>
            <w:r>
              <w:rPr>
                <w:sz w:val="17"/>
              </w:rPr>
              <w:t>Workaround exists</w:t>
            </w:r>
          </w:p>
        </w:tc>
      </w:tr>
      <w:tr>
        <w:tc>
          <w:tcPr>
            <w:tcW w:type="dxa" w:w="2412"/>
          </w:tcPr>
          <w:p>
            <w:r>
              <w:rPr>
                <w:sz w:val="17"/>
              </w:rPr>
              <w:t>Severity 4</w:t>
            </w:r>
          </w:p>
        </w:tc>
        <w:tc>
          <w:tcPr>
            <w:tcW w:type="dxa" w:w="2412"/>
          </w:tcPr>
          <w:p>
            <w:r>
              <w:rPr>
                <w:sz w:val="17"/>
              </w:rPr>
              <w:t>5 business days</w:t>
            </w:r>
          </w:p>
        </w:tc>
        <w:tc>
          <w:tcPr>
            <w:tcW w:type="dxa" w:w="2412"/>
          </w:tcPr>
          <w:p>
            <w:r>
              <w:rPr>
                <w:sz w:val="17"/>
              </w:rPr>
              <w:t>By cycle end</w:t>
            </w:r>
          </w:p>
        </w:tc>
        <w:tc>
          <w:tcPr>
            <w:tcW w:type="dxa" w:w="2412"/>
          </w:tcPr>
          <w:p>
            <w:r>
              <w:rPr>
                <w:sz w:val="17"/>
              </w:rPr>
              <w:t>Reporting or cosmetic</w:t>
            </w:r>
          </w:p>
        </w:tc>
      </w:tr>
    </w:tbl>
    <w:p/>
    <w:p>
      <w:pPr>
        <w:spacing w:before="320"/>
      </w:pPr>
      <w:r>
        <w:rPr>
          <w:b/>
          <w:color w:val="12304A"/>
          <w:sz w:val="28"/>
        </w:rPr>
        <w:t>5. Warranty, Support and Version Obligations</w:t>
      </w:r>
    </w:p>
    <w:p>
      <w:r>
        <w:t>The obligations below are mandatory under Vendor Management Plan §5 and are not subject to negotiation on price. They govern the period after acceptance, which is where the cost of an incomplete statement of work is actually incurred.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Provision</w:t>
            </w:r>
          </w:p>
        </w:tc>
      </w:tr>
      <w:tr>
        <w:tc>
          <w:tcPr>
            <w:tcW w:type="dxa" w:w="3216"/>
          </w:tcPr>
          <w:p>
            <w:r>
              <w:rPr>
                <w:sz w:val="17"/>
              </w:rPr>
              <w:t>SW-02</w:t>
            </w:r>
          </w:p>
        </w:tc>
        <w:tc>
          <w:tcPr>
            <w:tcW w:type="dxa" w:w="3216"/>
          </w:tcPr>
          <w:p>
            <w:r>
              <w:rPr>
                <w:sz w:val="17"/>
              </w:rPr>
              <w:t>Defect remediation service levels</w:t>
            </w:r>
          </w:p>
        </w:tc>
        <w:tc>
          <w:tcPr>
            <w:tcW w:type="dxa" w:w="3216"/>
          </w:tcPr>
          <w:p>
            <w:r>
              <w:rPr>
                <w:sz w:val="17"/>
              </w:rPr>
              <w:t>Response and resolution by severity, using ACME's severity definitions from the Quality Plan, not Supplier's. Severity 1 — a defect harming a member or breaching a regulatory obligation — carries a 1 hour response and continuous effort to resolution.</w:t>
            </w:r>
          </w:p>
        </w:tc>
      </w:tr>
      <w:tr>
        <w:tc>
          <w:tcPr>
            <w:tcW w:type="dxa" w:w="3216"/>
          </w:tcPr>
          <w:p>
            <w:r>
              <w:rPr>
                <w:sz w:val="17"/>
              </w:rPr>
              <w:t>SW-08</w:t>
            </w:r>
          </w:p>
        </w:tc>
        <w:tc>
          <w:tcPr>
            <w:tcW w:type="dxa" w:w="3216"/>
          </w:tcPr>
          <w:p>
            <w:r>
              <w:rPr>
                <w:sz w:val="17"/>
              </w:rPr>
              <w:t>Environment coverage</w:t>
            </w:r>
          </w:p>
        </w:tc>
        <w:tc>
          <w:tcPr>
            <w:tcW w:type="dxa" w:w="3216"/>
          </w:tcPr>
          <w:p>
            <w:r>
              <w:rPr>
                <w:sz w:val="17"/>
              </w:rPr>
              <w:t>⚠ Support covers non-production environments. A test environment nobody will fix stops testing, which stops the program.</w:t>
            </w:r>
          </w:p>
        </w:tc>
      </w:tr>
    </w:tbl>
    <w:p/>
    <w:p>
      <w:pPr>
        <w:spacing w:before="120"/>
        <w:ind w:left="360"/>
      </w:pPr>
      <w:r>
        <w:rPr>
          <w:i/>
          <w:color w:val="12304A"/>
          <w:sz w:val="20"/>
        </w:rPr>
        <w:t>Supplier provides tooling rather than a licensed product, so warranty and version obligations are limited to defect remediation in that tooling and to test environment coverage.</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Gallatin EDI Assurance.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Test cases, traceability and results are the property of ACME Health and are reusable for future trading partner onboarding.</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