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SOW-06 · UNDER ARTIFACT 21A ·</w:t>
      </w:r>
    </w:p>
    <w:p>
      <w:r>
        <w:rPr>
          <w:b/>
          <w:color w:val="12304A"/>
          <w:sz w:val="44"/>
        </w:rPr>
        <w:t>SOW-06 EMPI Platform - License, Implementation and Support</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The enterprise master patient index platform on which member identity resolution is performed. This is the only instrument on the program where a supplier's product decisions can invalidate work ACME has already accepted, which is why every warranty, support and version obligation in Vendor Management Plan §5 applies without exception.</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Madison Data Systems</w:t>
            </w:r>
          </w:p>
        </w:tc>
      </w:tr>
      <w:tr>
        <w:tc>
          <w:tcPr>
            <w:tcW w:type="dxa" w:w="4824"/>
          </w:tcPr>
          <w:p>
            <w:r>
              <w:rPr>
                <w:sz w:val="17"/>
              </w:rPr>
              <w:t>Instrument</w:t>
            </w:r>
          </w:p>
        </w:tc>
        <w:tc>
          <w:tcPr>
            <w:tcW w:type="dxa" w:w="4824"/>
          </w:tcPr>
          <w:p>
            <w:r>
              <w:rPr>
                <w:sz w:val="17"/>
              </w:rPr>
              <w:t>SOW-06, issued under the Master Services Agreement</w:t>
            </w:r>
          </w:p>
        </w:tc>
      </w:tr>
      <w:tr>
        <w:tc>
          <w:tcPr>
            <w:tcW w:type="dxa" w:w="4824"/>
          </w:tcPr>
          <w:p>
            <w:r>
              <w:rPr>
                <w:sz w:val="17"/>
              </w:rPr>
              <w:t>Vendor register reference</w:t>
            </w:r>
          </w:p>
        </w:tc>
        <w:tc>
          <w:tcPr>
            <w:tcW w:type="dxa" w:w="4824"/>
          </w:tcPr>
          <w:p>
            <w:r>
              <w:rPr>
                <w:sz w:val="17"/>
              </w:rPr>
              <w:t>VN-06 in the Vendor Management Plan</w:t>
            </w:r>
          </w:p>
        </w:tc>
      </w:tr>
      <w:tr>
        <w:tc>
          <w:tcPr>
            <w:tcW w:type="dxa" w:w="4824"/>
          </w:tcPr>
          <w:p>
            <w:r>
              <w:rPr>
                <w:sz w:val="17"/>
              </w:rPr>
              <w:t>Vehicle</w:t>
            </w:r>
          </w:p>
        </w:tc>
        <w:tc>
          <w:tcPr>
            <w:tcW w:type="dxa" w:w="4824"/>
          </w:tcPr>
          <w:p>
            <w:r>
              <w:rPr>
                <w:sz w:val="17"/>
              </w:rPr>
              <w:t>Perpetual license + implementation services + annual support</w:t>
            </w:r>
          </w:p>
        </w:tc>
      </w:tr>
      <w:tr>
        <w:tc>
          <w:tcPr>
            <w:tcW w:type="dxa" w:w="4824"/>
          </w:tcPr>
          <w:p>
            <w:r>
              <w:rPr>
                <w:sz w:val="17"/>
              </w:rPr>
              <w:t>ACME owner</w:t>
            </w:r>
          </w:p>
        </w:tc>
        <w:tc>
          <w:tcPr>
            <w:tcW w:type="dxa" w:w="4824"/>
          </w:tcPr>
          <w:p>
            <w:r>
              <w:rPr>
                <w:sz w:val="17"/>
              </w:rPr>
              <w:t>Dr. A. Ravindran, Director, Enterprise Data Management</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License perpetual. Implementation to acceptance. Support renewing annually.</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Platform license</w:t>
            </w:r>
          </w:p>
        </w:tc>
        <w:tc>
          <w:tcPr>
            <w:tcW w:type="dxa" w:w="3216"/>
          </w:tcPr>
          <w:p>
            <w:r>
              <w:rPr>
                <w:sz w:val="17"/>
              </w:rPr>
              <w:t>Enterprise license for the identity resolution platform covering the combined member population, with no per-record or per-match metering.</w:t>
            </w:r>
          </w:p>
        </w:tc>
      </w:tr>
      <w:tr>
        <w:tc>
          <w:tcPr>
            <w:tcW w:type="dxa" w:w="3216"/>
          </w:tcPr>
          <w:p>
            <w:r>
              <w:rPr>
                <w:sz w:val="17"/>
              </w:rPr>
              <w:t>SC-02</w:t>
            </w:r>
          </w:p>
        </w:tc>
        <w:tc>
          <w:tcPr>
            <w:tcW w:type="dxa" w:w="3216"/>
          </w:tcPr>
          <w:p>
            <w:r>
              <w:rPr>
                <w:sz w:val="17"/>
              </w:rPr>
              <w:t>Implementation services</w:t>
            </w:r>
          </w:p>
        </w:tc>
        <w:tc>
          <w:tcPr>
            <w:tcW w:type="dxa" w:w="3216"/>
          </w:tcPr>
          <w:p>
            <w:r>
              <w:rPr>
                <w:sz w:val="17"/>
              </w:rPr>
              <w:t>Installation into ACME's Azure landing zone, configuration to ACME's data model, and integration with the enrollment and claims sources.</w:t>
            </w:r>
          </w:p>
        </w:tc>
      </w:tr>
      <w:tr>
        <w:tc>
          <w:tcPr>
            <w:tcW w:type="dxa" w:w="3216"/>
          </w:tcPr>
          <w:p>
            <w:r>
              <w:rPr>
                <w:sz w:val="17"/>
              </w:rPr>
              <w:t>SC-03</w:t>
            </w:r>
          </w:p>
        </w:tc>
        <w:tc>
          <w:tcPr>
            <w:tcW w:type="dxa" w:w="3216"/>
          </w:tcPr>
          <w:p>
            <w:r>
              <w:rPr>
                <w:sz w:val="17"/>
              </w:rPr>
              <w:t>Match rule configuration</w:t>
            </w:r>
          </w:p>
        </w:tc>
        <w:tc>
          <w:tcPr>
            <w:tcW w:type="dxa" w:w="3216"/>
          </w:tcPr>
          <w:p>
            <w:r>
              <w:rPr>
                <w:sz w:val="17"/>
              </w:rPr>
              <w:t>Deterministic and probabilistic rule sets configured and tuned against ACME's member population, including blocking keys, comparison functions and thresholds.</w:t>
            </w:r>
          </w:p>
        </w:tc>
      </w:tr>
      <w:tr>
        <w:tc>
          <w:tcPr>
            <w:tcW w:type="dxa" w:w="3216"/>
          </w:tcPr>
          <w:p>
            <w:r>
              <w:rPr>
                <w:sz w:val="17"/>
              </w:rPr>
              <w:t>SC-04</w:t>
            </w:r>
          </w:p>
        </w:tc>
        <w:tc>
          <w:tcPr>
            <w:tcW w:type="dxa" w:w="3216"/>
          </w:tcPr>
          <w:p>
            <w:r>
              <w:rPr>
                <w:sz w:val="17"/>
              </w:rPr>
              <w:t>Survivorship configuration</w:t>
            </w:r>
          </w:p>
        </w:tc>
        <w:tc>
          <w:tcPr>
            <w:tcW w:type="dxa" w:w="3216"/>
          </w:tcPr>
          <w:p>
            <w:r>
              <w:rPr>
                <w:sz w:val="17"/>
              </w:rPr>
              <w:t>Attribute-level survivorship rules. ⚠ Coverage history is a union, never an overwrite.</w:t>
            </w:r>
          </w:p>
        </w:tc>
      </w:tr>
      <w:tr>
        <w:tc>
          <w:tcPr>
            <w:tcW w:type="dxa" w:w="3216"/>
          </w:tcPr>
          <w:p>
            <w:r>
              <w:rPr>
                <w:sz w:val="17"/>
              </w:rPr>
              <w:t>SC-05</w:t>
            </w:r>
          </w:p>
        </w:tc>
        <w:tc>
          <w:tcPr>
            <w:tcW w:type="dxa" w:w="3216"/>
          </w:tcPr>
          <w:p>
            <w:r>
              <w:rPr>
                <w:sz w:val="17"/>
              </w:rPr>
              <w:t>Steward workbench</w:t>
            </w:r>
          </w:p>
        </w:tc>
        <w:tc>
          <w:tcPr>
            <w:tcW w:type="dxa" w:w="3216"/>
          </w:tcPr>
          <w:p>
            <w:r>
              <w:rPr>
                <w:sz w:val="17"/>
              </w:rPr>
              <w:t>Clerical review interface, queue management, and audit logging of every steward decision.</w:t>
            </w:r>
          </w:p>
        </w:tc>
      </w:tr>
      <w:tr>
        <w:tc>
          <w:tcPr>
            <w:tcW w:type="dxa" w:w="3216"/>
          </w:tcPr>
          <w:p>
            <w:r>
              <w:rPr>
                <w:sz w:val="17"/>
              </w:rPr>
              <w:t>SC-06</w:t>
            </w:r>
          </w:p>
        </w:tc>
        <w:tc>
          <w:tcPr>
            <w:tcW w:type="dxa" w:w="3216"/>
          </w:tcPr>
          <w:p>
            <w:r>
              <w:rPr>
                <w:sz w:val="17"/>
              </w:rPr>
              <w:t>Knowledge transfer</w:t>
            </w:r>
          </w:p>
        </w:tc>
        <w:tc>
          <w:tcPr>
            <w:tcW w:type="dxa" w:w="3216"/>
          </w:tcPr>
          <w:p>
            <w:r>
              <w:rPr>
                <w:sz w:val="17"/>
              </w:rPr>
              <w:t>Named ACME receivers trained to configure rules unaided, accepted by reverse shadowing.</w:t>
            </w:r>
          </w:p>
        </w:tc>
      </w:tr>
      <w:tr>
        <w:tc>
          <w:tcPr>
            <w:tcW w:type="dxa" w:w="3216"/>
          </w:tcPr>
          <w:p>
            <w:r>
              <w:rPr>
                <w:sz w:val="17"/>
              </w:rPr>
              <w:t>SC-07</w:t>
            </w:r>
          </w:p>
        </w:tc>
        <w:tc>
          <w:tcPr>
            <w:tcW w:type="dxa" w:w="3216"/>
          </w:tcPr>
          <w:p>
            <w:r>
              <w:rPr>
                <w:sz w:val="17"/>
              </w:rPr>
              <w:t>Annual support</w:t>
            </w:r>
          </w:p>
        </w:tc>
        <w:tc>
          <w:tcPr>
            <w:tcW w:type="dxa" w:w="3216"/>
          </w:tcPr>
          <w:p>
            <w:r>
              <w:rPr>
                <w:sz w:val="17"/>
              </w:rPr>
              <w:t>Per §5. Renews annually; ⚠ first renewal price capped in the Master Services Agreement so support cannot be repriced once the platform is load-bearing.</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Platform installed in the landing zone</w:t>
            </w:r>
          </w:p>
        </w:tc>
        <w:tc>
          <w:tcPr>
            <w:tcW w:type="dxa" w:w="3216"/>
          </w:tcPr>
          <w:p>
            <w:r>
              <w:rPr>
                <w:sz w:val="17"/>
              </w:rPr>
              <w:t>Deployed, policy-compliant, passes the landing zone acceptance conditions</w:t>
            </w:r>
          </w:p>
        </w:tc>
      </w:tr>
      <w:tr>
        <w:tc>
          <w:tcPr>
            <w:tcW w:type="dxa" w:w="3216"/>
          </w:tcPr>
          <w:p>
            <w:r>
              <w:rPr>
                <w:sz w:val="17"/>
              </w:rPr>
              <w:t>DL-02</w:t>
            </w:r>
          </w:p>
        </w:tc>
        <w:tc>
          <w:tcPr>
            <w:tcW w:type="dxa" w:w="3216"/>
          </w:tcPr>
          <w:p>
            <w:r>
              <w:rPr>
                <w:sz w:val="17"/>
              </w:rPr>
              <w:t>Configured match rule set</w:t>
            </w:r>
          </w:p>
        </w:tc>
        <w:tc>
          <w:tcPr>
            <w:tcW w:type="dxa" w:w="3216"/>
          </w:tcPr>
          <w:p>
            <w:r>
              <w:rPr>
                <w:sz w:val="17"/>
              </w:rPr>
              <w:t>⚠ Accepted against a labelled test set, not against Supplier's demonstration data</w:t>
            </w:r>
          </w:p>
        </w:tc>
      </w:tr>
      <w:tr>
        <w:tc>
          <w:tcPr>
            <w:tcW w:type="dxa" w:w="3216"/>
          </w:tcPr>
          <w:p>
            <w:r>
              <w:rPr>
                <w:sz w:val="17"/>
              </w:rPr>
              <w:t>DL-03</w:t>
            </w:r>
          </w:p>
        </w:tc>
        <w:tc>
          <w:tcPr>
            <w:tcW w:type="dxa" w:w="3216"/>
          </w:tcPr>
          <w:p>
            <w:r>
              <w:rPr>
                <w:sz w:val="17"/>
              </w:rPr>
              <w:t>Survivorship specification</w:t>
            </w:r>
          </w:p>
        </w:tc>
        <w:tc>
          <w:tcPr>
            <w:tcW w:type="dxa" w:w="3216"/>
          </w:tcPr>
          <w:p>
            <w:r>
              <w:rPr>
                <w:sz w:val="17"/>
              </w:rPr>
              <w:t>Attribute-by-attribute, with the source of truth stated for each</w:t>
            </w:r>
          </w:p>
        </w:tc>
      </w:tr>
      <w:tr>
        <w:tc>
          <w:tcPr>
            <w:tcW w:type="dxa" w:w="3216"/>
          </w:tcPr>
          <w:p>
            <w:r>
              <w:rPr>
                <w:sz w:val="17"/>
              </w:rPr>
              <w:t>DL-04</w:t>
            </w:r>
          </w:p>
        </w:tc>
        <w:tc>
          <w:tcPr>
            <w:tcW w:type="dxa" w:w="3216"/>
          </w:tcPr>
          <w:p>
            <w:r>
              <w:rPr>
                <w:sz w:val="17"/>
              </w:rPr>
              <w:t>Steward workbench in production</w:t>
            </w:r>
          </w:p>
        </w:tc>
        <w:tc>
          <w:tcPr>
            <w:tcW w:type="dxa" w:w="3216"/>
          </w:tcPr>
          <w:p>
            <w:r>
              <w:rPr>
                <w:sz w:val="17"/>
              </w:rPr>
              <w:t>Queue operational, audit trail verified as immutable</w:t>
            </w:r>
          </w:p>
        </w:tc>
      </w:tr>
      <w:tr>
        <w:tc>
          <w:tcPr>
            <w:tcW w:type="dxa" w:w="3216"/>
          </w:tcPr>
          <w:p>
            <w:r>
              <w:rPr>
                <w:sz w:val="17"/>
              </w:rPr>
              <w:t>DL-05</w:t>
            </w:r>
          </w:p>
        </w:tc>
        <w:tc>
          <w:tcPr>
            <w:tcW w:type="dxa" w:w="3216"/>
          </w:tcPr>
          <w:p>
            <w:r>
              <w:rPr>
                <w:sz w:val="17"/>
              </w:rPr>
              <w:t>Knowledge transfer accepted</w:t>
            </w:r>
          </w:p>
        </w:tc>
        <w:tc>
          <w:tcPr>
            <w:tcW w:type="dxa" w:w="3216"/>
          </w:tcPr>
          <w:p>
            <w:r>
              <w:rPr>
                <w:sz w:val="17"/>
              </w:rPr>
              <w:t>ACME configures a rule change unaided; Supplier observes only</w:t>
            </w:r>
          </w:p>
        </w:tc>
      </w:tr>
      <w:tr>
        <w:tc>
          <w:tcPr>
            <w:tcW w:type="dxa" w:w="3216"/>
          </w:tcPr>
          <w:p>
            <w:r>
              <w:rPr>
                <w:sz w:val="17"/>
              </w:rPr>
              <w:t>DL-06</w:t>
            </w:r>
          </w:p>
        </w:tc>
        <w:tc>
          <w:tcPr>
            <w:tcW w:type="dxa" w:w="3216"/>
          </w:tcPr>
          <w:p>
            <w:r>
              <w:rPr>
                <w:sz w:val="17"/>
              </w:rPr>
              <w:t>As-built documentation</w:t>
            </w:r>
          </w:p>
        </w:tc>
        <w:tc>
          <w:tcPr>
            <w:tcW w:type="dxa" w:w="3216"/>
          </w:tcPr>
          <w:p>
            <w:r>
              <w:rPr>
                <w:sz w:val="17"/>
              </w:rPr>
              <w:t>Configuration, integration points, and recovery procedure</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Severity 1</w:t>
            </w:r>
          </w:p>
        </w:tc>
        <w:tc>
          <w:tcPr>
            <w:tcW w:type="dxa" w:w="2412"/>
          </w:tcPr>
          <w:p>
            <w:r>
              <w:rPr>
                <w:sz w:val="17"/>
              </w:rPr>
              <w:t>1 hour</w:t>
            </w:r>
          </w:p>
        </w:tc>
        <w:tc>
          <w:tcPr>
            <w:tcW w:type="dxa" w:w="2412"/>
          </w:tcPr>
          <w:p>
            <w:r>
              <w:rPr>
                <w:sz w:val="17"/>
              </w:rPr>
              <w:t>Continuous effort</w:t>
            </w:r>
          </w:p>
        </w:tc>
        <w:tc>
          <w:tcPr>
            <w:tcW w:type="dxa" w:w="2412"/>
          </w:tcPr>
          <w:p>
            <w:r>
              <w:rPr>
                <w:sz w:val="17"/>
              </w:rPr>
              <w:t>Member harm or regulatory breach</w:t>
            </w:r>
          </w:p>
        </w:tc>
      </w:tr>
      <w:tr>
        <w:tc>
          <w:tcPr>
            <w:tcW w:type="dxa" w:w="2412"/>
          </w:tcPr>
          <w:p>
            <w:r>
              <w:rPr>
                <w:sz w:val="17"/>
              </w:rPr>
              <w:t>Severity 2</w:t>
            </w:r>
          </w:p>
        </w:tc>
        <w:tc>
          <w:tcPr>
            <w:tcW w:type="dxa" w:w="2412"/>
          </w:tcPr>
          <w:p>
            <w:r>
              <w:rPr>
                <w:sz w:val="17"/>
              </w:rPr>
              <w:t>4 hours</w:t>
            </w:r>
          </w:p>
        </w:tc>
        <w:tc>
          <w:tcPr>
            <w:tcW w:type="dxa" w:w="2412"/>
          </w:tcPr>
          <w:p>
            <w:r>
              <w:rPr>
                <w:sz w:val="17"/>
              </w:rPr>
              <w:t>2 business days</w:t>
            </w:r>
          </w:p>
        </w:tc>
        <w:tc>
          <w:tcPr>
            <w:tcW w:type="dxa" w:w="2412"/>
          </w:tcPr>
          <w:p>
            <w:r>
              <w:rPr>
                <w:sz w:val="17"/>
              </w:rPr>
              <w:t>Financial or regulatory consequence</w:t>
            </w:r>
          </w:p>
        </w:tc>
      </w:tr>
      <w:tr>
        <w:tc>
          <w:tcPr>
            <w:tcW w:type="dxa" w:w="2412"/>
          </w:tcPr>
          <w:p>
            <w:r>
              <w:rPr>
                <w:sz w:val="17"/>
              </w:rPr>
              <w:t>Severity 3</w:t>
            </w:r>
          </w:p>
        </w:tc>
        <w:tc>
          <w:tcPr>
            <w:tcW w:type="dxa" w:w="2412"/>
          </w:tcPr>
          <w:p>
            <w:r>
              <w:rPr>
                <w:sz w:val="17"/>
              </w:rPr>
              <w:t>1 business day</w:t>
            </w:r>
          </w:p>
        </w:tc>
        <w:tc>
          <w:tcPr>
            <w:tcW w:type="dxa" w:w="2412"/>
          </w:tcPr>
          <w:p>
            <w:r>
              <w:rPr>
                <w:sz w:val="17"/>
              </w:rPr>
              <w:t>10 business days</w:t>
            </w:r>
          </w:p>
        </w:tc>
        <w:tc>
          <w:tcPr>
            <w:tcW w:type="dxa" w:w="2412"/>
          </w:tcPr>
          <w:p>
            <w:r>
              <w:rPr>
                <w:sz w:val="17"/>
              </w:rPr>
              <w:t>Operational, workaround exists</w:t>
            </w:r>
          </w:p>
        </w:tc>
      </w:tr>
      <w:tr>
        <w:tc>
          <w:tcPr>
            <w:tcW w:type="dxa" w:w="2412"/>
          </w:tcPr>
          <w:p>
            <w:r>
              <w:rPr>
                <w:sz w:val="17"/>
              </w:rPr>
              <w:t>Severity 4</w:t>
            </w:r>
          </w:p>
        </w:tc>
        <w:tc>
          <w:tcPr>
            <w:tcW w:type="dxa" w:w="2412"/>
          </w:tcPr>
          <w:p>
            <w:r>
              <w:rPr>
                <w:sz w:val="17"/>
              </w:rPr>
              <w:t>3 business days</w:t>
            </w:r>
          </w:p>
        </w:tc>
        <w:tc>
          <w:tcPr>
            <w:tcW w:type="dxa" w:w="2412"/>
          </w:tcPr>
          <w:p>
            <w:r>
              <w:rPr>
                <w:sz w:val="17"/>
              </w:rPr>
              <w:t>Next release</w:t>
            </w:r>
          </w:p>
        </w:tc>
        <w:tc>
          <w:tcPr>
            <w:tcW w:type="dxa" w:w="2412"/>
          </w:tcPr>
          <w:p>
            <w:r>
              <w:rPr>
                <w:sz w:val="17"/>
              </w:rPr>
              <w:t>Cosmetic or internal</w:t>
            </w:r>
          </w:p>
        </w:tc>
      </w:tr>
    </w:tbl>
    <w:p/>
    <w:p>
      <w:pPr>
        <w:spacing w:before="320"/>
      </w:pPr>
      <w:r>
        <w:rPr>
          <w:b/>
          <w:color w:val="12304A"/>
          <w:sz w:val="28"/>
        </w:rPr>
        <w:t>5. Warranty, Support and Version Obligations</w:t>
      </w:r>
    </w:p>
    <w:p>
      <w:r>
        <w:t>The obligations below are mandatory under Vendor Management Plan §5 and are not subject to negotiation on price. They govern the period after acceptance, which is where the cost of an incomplete statement of work is actually incurred.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Provision</w:t>
            </w:r>
          </w:p>
        </w:tc>
      </w:tr>
      <w:tr>
        <w:tc>
          <w:tcPr>
            <w:tcW w:type="dxa" w:w="3216"/>
          </w:tcPr>
          <w:p>
            <w:r>
              <w:rPr>
                <w:sz w:val="17"/>
              </w:rPr>
              <w:t>SW-01</w:t>
            </w:r>
          </w:p>
        </w:tc>
        <w:tc>
          <w:tcPr>
            <w:tcW w:type="dxa" w:w="3216"/>
          </w:tcPr>
          <w:p>
            <w:r>
              <w:rPr>
                <w:sz w:val="17"/>
              </w:rPr>
              <w:t>Warranty period</w:t>
            </w:r>
          </w:p>
        </w:tc>
        <w:tc>
          <w:tcPr>
            <w:tcW w:type="dxa" w:w="3216"/>
          </w:tcPr>
          <w:p>
            <w:r>
              <w:rPr>
                <w:sz w:val="17"/>
              </w:rPr>
              <w:t>Supplier warrants the delivered software will perform materially in accordance with its documentation for twelve months from ACCEPTANCE. ⚠ Acceptance, not delivery — a warranty running from delivery can expire before the product is in production use.</w:t>
            </w:r>
          </w:p>
        </w:tc>
      </w:tr>
      <w:tr>
        <w:tc>
          <w:tcPr>
            <w:tcW w:type="dxa" w:w="3216"/>
          </w:tcPr>
          <w:p>
            <w:r>
              <w:rPr>
                <w:sz w:val="17"/>
              </w:rPr>
              <w:t>SW-02</w:t>
            </w:r>
          </w:p>
        </w:tc>
        <w:tc>
          <w:tcPr>
            <w:tcW w:type="dxa" w:w="3216"/>
          </w:tcPr>
          <w:p>
            <w:r>
              <w:rPr>
                <w:sz w:val="17"/>
              </w:rPr>
              <w:t>Defect remediation service levels</w:t>
            </w:r>
          </w:p>
        </w:tc>
        <w:tc>
          <w:tcPr>
            <w:tcW w:type="dxa" w:w="3216"/>
          </w:tcPr>
          <w:p>
            <w:r>
              <w:rPr>
                <w:sz w:val="17"/>
              </w:rPr>
              <w:t>Response and resolution by severity, using ACME's severity definitions from the Quality Plan, not Supplier's. Severity 1 — a defect harming a member or breaching a regulatory obligation — carries a 1 hour response and continuous effort to resolution.</w:t>
            </w:r>
          </w:p>
        </w:tc>
      </w:tr>
      <w:tr>
        <w:tc>
          <w:tcPr>
            <w:tcW w:type="dxa" w:w="3216"/>
          </w:tcPr>
          <w:p>
            <w:r>
              <w:rPr>
                <w:sz w:val="17"/>
              </w:rPr>
              <w:t>SW-03</w:t>
            </w:r>
          </w:p>
        </w:tc>
        <w:tc>
          <w:tcPr>
            <w:tcW w:type="dxa" w:w="3216"/>
          </w:tcPr>
          <w:p>
            <w:r>
              <w:rPr>
                <w:sz w:val="17"/>
              </w:rPr>
              <w:t>Support staffing and coverage</w:t>
            </w:r>
          </w:p>
        </w:tc>
        <w:tc>
          <w:tcPr>
            <w:tcW w:type="dxa" w:w="3216"/>
          </w:tcPr>
          <w:p>
            <w:r>
              <w:rPr>
                <w:sz w:val="17"/>
              </w:rPr>
              <w:t>Named support contacts with a defined escalation path. ⚠ Coverage extends to cutover weekends and hypercare periods on the program calendar, not Supplier's standard business hours. Coverage windows are listed by date in an annex updated at each wave.</w:t>
            </w:r>
          </w:p>
        </w:tc>
      </w:tr>
      <w:tr>
        <w:tc>
          <w:tcPr>
            <w:tcW w:type="dxa" w:w="3216"/>
          </w:tcPr>
          <w:p>
            <w:r>
              <w:rPr>
                <w:sz w:val="17"/>
              </w:rPr>
              <w:t>SW-04</w:t>
            </w:r>
          </w:p>
        </w:tc>
        <w:tc>
          <w:tcPr>
            <w:tcW w:type="dxa" w:w="3216"/>
          </w:tcPr>
          <w:p>
            <w:r>
              <w:rPr>
                <w:sz w:val="17"/>
              </w:rPr>
              <w:t>Version updates and patches</w:t>
            </w:r>
          </w:p>
        </w:tc>
        <w:tc>
          <w:tcPr>
            <w:tcW w:type="dxa" w:w="3216"/>
          </w:tcPr>
          <w:p>
            <w:r>
              <w:rPr>
                <w:sz w:val="17"/>
              </w:rPr>
              <w:t>Supplier states who applies updates, in what window, and who tests. Security patches run on a clock separate from feature releases. ACME approves the timing of any update to a production environment.</w:t>
            </w:r>
          </w:p>
        </w:tc>
      </w:tr>
      <w:tr>
        <w:tc>
          <w:tcPr>
            <w:tcW w:type="dxa" w:w="3216"/>
          </w:tcPr>
          <w:p>
            <w:r>
              <w:rPr>
                <w:sz w:val="17"/>
              </w:rPr>
              <w:t>SW-05</w:t>
            </w:r>
          </w:p>
        </w:tc>
        <w:tc>
          <w:tcPr>
            <w:tcW w:type="dxa" w:w="3216"/>
          </w:tcPr>
          <w:p>
            <w:r>
              <w:rPr>
                <w:sz w:val="17"/>
              </w:rPr>
              <w:t>Backward compatibility and interface stability</w:t>
            </w:r>
          </w:p>
        </w:tc>
        <w:tc>
          <w:tcPr>
            <w:tcW w:type="dxa" w:w="3216"/>
          </w:tcPr>
          <w:p>
            <w:r>
              <w:rPr>
                <w:sz w:val="17"/>
              </w:rPr>
              <w:t>⚠ Minimum 90 days' notice before any change that alters a published interface, and remediation cost is borne by Supplier where the change is not required by law or security. This is the clause that decides whether ACME owns a system or a liability.</w:t>
            </w:r>
          </w:p>
        </w:tc>
      </w:tr>
      <w:tr>
        <w:tc>
          <w:tcPr>
            <w:tcW w:type="dxa" w:w="3216"/>
          </w:tcPr>
          <w:p>
            <w:r>
              <w:rPr>
                <w:sz w:val="17"/>
              </w:rPr>
              <w:t>SW-06</w:t>
            </w:r>
          </w:p>
        </w:tc>
        <w:tc>
          <w:tcPr>
            <w:tcW w:type="dxa" w:w="3216"/>
          </w:tcPr>
          <w:p>
            <w:r>
              <w:rPr>
                <w:sz w:val="17"/>
              </w:rPr>
              <w:t>End-of-life and end-of-support</w:t>
            </w:r>
          </w:p>
        </w:tc>
        <w:tc>
          <w:tcPr>
            <w:tcW w:type="dxa" w:w="3216"/>
          </w:tcPr>
          <w:p>
            <w:r>
              <w:rPr>
                <w:sz w:val="17"/>
              </w:rPr>
              <w:t>Minimum 12 months' notice before a version leaves support, with a documented migration path to a supported version at no additional license cost.</w:t>
            </w:r>
          </w:p>
        </w:tc>
      </w:tr>
      <w:tr>
        <w:tc>
          <w:tcPr>
            <w:tcW w:type="dxa" w:w="3216"/>
          </w:tcPr>
          <w:p>
            <w:r>
              <w:rPr>
                <w:sz w:val="17"/>
              </w:rPr>
              <w:t>SW-07</w:t>
            </w:r>
          </w:p>
        </w:tc>
        <w:tc>
          <w:tcPr>
            <w:tcW w:type="dxa" w:w="3216"/>
          </w:tcPr>
          <w:p>
            <w:r>
              <w:rPr>
                <w:sz w:val="17"/>
              </w:rPr>
              <w:t>Source escrow and continuity</w:t>
            </w:r>
          </w:p>
        </w:tc>
        <w:tc>
          <w:tcPr>
            <w:tcW w:type="dxa" w:w="3216"/>
          </w:tcPr>
          <w:p>
            <w:r>
              <w:rPr>
                <w:sz w:val="17"/>
              </w:rPr>
              <w:t>Source code and build instructions held in escrow, released on Supplier insolvency or sustained failure to support.</w:t>
            </w:r>
          </w:p>
        </w:tc>
      </w:tr>
      <w:tr>
        <w:tc>
          <w:tcPr>
            <w:tcW w:type="dxa" w:w="3216"/>
          </w:tcPr>
          <w:p>
            <w:r>
              <w:rPr>
                <w:sz w:val="17"/>
              </w:rPr>
              <w:t>SW-08</w:t>
            </w:r>
          </w:p>
        </w:tc>
        <w:tc>
          <w:tcPr>
            <w:tcW w:type="dxa" w:w="3216"/>
          </w:tcPr>
          <w:p>
            <w:r>
              <w:rPr>
                <w:sz w:val="17"/>
              </w:rPr>
              <w:t>Environment coverage</w:t>
            </w:r>
          </w:p>
        </w:tc>
        <w:tc>
          <w:tcPr>
            <w:tcW w:type="dxa" w:w="3216"/>
          </w:tcPr>
          <w:p>
            <w:r>
              <w:rPr>
                <w:sz w:val="17"/>
              </w:rPr>
              <w:t>⚠ Support covers non-production environments. A test environment nobody will fix stops testing, which stops the program.</w:t>
            </w:r>
          </w:p>
        </w:tc>
      </w:tr>
    </w:tbl>
    <w:p/>
    <w:p>
      <w:pPr>
        <w:spacing w:before="120"/>
        <w:ind w:left="360"/>
      </w:pPr>
      <w:r>
        <w:rPr>
          <w:i/>
          <w:color w:val="12304A"/>
          <w:sz w:val="20"/>
        </w:rPr>
        <w:t>SW-05 is the clause this instrument is written around. The match rules are built over months against this specific member population, and they are what identity resolution actually consists of. A Supplier version change that alters how a comparison function behaves does not merely require retesting — it can change which member records match. Ninety days' notice and Supplier-borne remediation is the difference between a managed upgrade and an unplanned re-tuning of the program's largest work package.</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Madison Data Systems.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 All match rules, survivorship configuration, blocking keys, thresholds and derived tuning are the property of ACME Health, are exportable in a documented format at any time, and may be used with a successor platform without further license. Supplier retains its platform intellectual property.</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