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SOW-08 · UNDER ARTIFACT 21A ·</w:t>
      </w:r>
    </w:p>
    <w:p>
      <w:r>
        <w:rPr>
          <w:b/>
          <w:color w:val="12304A"/>
          <w:sz w:val="44"/>
        </w:rPr>
        <w:t>SOW-08 Physical Data Transfer Appliance Service</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Physical transfer of the 340 TB historical claims archive to Azure using encrypted transfer appliances. ⚠ This instrument exists because the archive cannot cross the network inside the migration window — the arithmetic is in the Cloud Migration Wave Plan — and it works only because the archive is cold.</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Murfreesboro Secure Logistics</w:t>
            </w:r>
          </w:p>
        </w:tc>
      </w:tr>
      <w:tr>
        <w:tc>
          <w:tcPr>
            <w:tcW w:type="dxa" w:w="4824"/>
          </w:tcPr>
          <w:p>
            <w:r>
              <w:rPr>
                <w:sz w:val="17"/>
              </w:rPr>
              <w:t>Instrument</w:t>
            </w:r>
          </w:p>
        </w:tc>
        <w:tc>
          <w:tcPr>
            <w:tcW w:type="dxa" w:w="4824"/>
          </w:tcPr>
          <w:p>
            <w:r>
              <w:rPr>
                <w:sz w:val="17"/>
              </w:rPr>
              <w:t>SOW-08, issued under the Master Services Agreement</w:t>
            </w:r>
          </w:p>
        </w:tc>
      </w:tr>
      <w:tr>
        <w:tc>
          <w:tcPr>
            <w:tcW w:type="dxa" w:w="4824"/>
          </w:tcPr>
          <w:p>
            <w:r>
              <w:rPr>
                <w:sz w:val="17"/>
              </w:rPr>
              <w:t>Vendor register reference</w:t>
            </w:r>
          </w:p>
        </w:tc>
        <w:tc>
          <w:tcPr>
            <w:tcW w:type="dxa" w:w="4824"/>
          </w:tcPr>
          <w:p>
            <w:r>
              <w:rPr>
                <w:sz w:val="17"/>
              </w:rPr>
              <w:t>VN-08 in the Vendor Management Plan</w:t>
            </w:r>
          </w:p>
        </w:tc>
      </w:tr>
      <w:tr>
        <w:tc>
          <w:tcPr>
            <w:tcW w:type="dxa" w:w="4824"/>
          </w:tcPr>
          <w:p>
            <w:r>
              <w:rPr>
                <w:sz w:val="17"/>
              </w:rPr>
              <w:t>Vehicle</w:t>
            </w:r>
          </w:p>
        </w:tc>
        <w:tc>
          <w:tcPr>
            <w:tcW w:type="dxa" w:w="4824"/>
          </w:tcPr>
          <w:p>
            <w:r>
              <w:rPr>
                <w:sz w:val="17"/>
              </w:rPr>
              <w:t>Fixed price per appliance rotation</w:t>
            </w:r>
          </w:p>
        </w:tc>
      </w:tr>
      <w:tr>
        <w:tc>
          <w:tcPr>
            <w:tcW w:type="dxa" w:w="4824"/>
          </w:tcPr>
          <w:p>
            <w:r>
              <w:rPr>
                <w:sz w:val="17"/>
              </w:rPr>
              <w:t>ACME owner</w:t>
            </w:r>
          </w:p>
        </w:tc>
        <w:tc>
          <w:tcPr>
            <w:tcW w:type="dxa" w:w="4824"/>
          </w:tcPr>
          <w:p>
            <w:r>
              <w:rPr>
                <w:sz w:val="17"/>
              </w:rPr>
              <w:t>D. Fontenot, Senior Cloud Engineer</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From execution through completion of archive transfer and certified destruction.</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Appliance provision</w:t>
            </w:r>
          </w:p>
        </w:tc>
        <w:tc>
          <w:tcPr>
            <w:tcW w:type="dxa" w:w="3216"/>
          </w:tcPr>
          <w:p>
            <w:r>
              <w:rPr>
                <w:sz w:val="17"/>
              </w:rPr>
              <w:t>5 encrypted appliances, rotated until the archive is transferred.</w:t>
            </w:r>
          </w:p>
        </w:tc>
      </w:tr>
      <w:tr>
        <w:tc>
          <w:tcPr>
            <w:tcW w:type="dxa" w:w="3216"/>
          </w:tcPr>
          <w:p>
            <w:r>
              <w:rPr>
                <w:sz w:val="17"/>
              </w:rPr>
              <w:t>SC-02</w:t>
            </w:r>
          </w:p>
        </w:tc>
        <w:tc>
          <w:tcPr>
            <w:tcW w:type="dxa" w:w="3216"/>
          </w:tcPr>
          <w:p>
            <w:r>
              <w:rPr>
                <w:sz w:val="17"/>
              </w:rPr>
              <w:t>Chain of custody</w:t>
            </w:r>
          </w:p>
        </w:tc>
        <w:tc>
          <w:tcPr>
            <w:tcW w:type="dxa" w:w="3216"/>
          </w:tcPr>
          <w:p>
            <w:r>
              <w:rPr>
                <w:sz w:val="17"/>
              </w:rPr>
              <w:t>⚠ Documented custody from ACME data center to Azure ingest, with signature at every transfer of possession.</w:t>
            </w:r>
          </w:p>
        </w:tc>
      </w:tr>
      <w:tr>
        <w:tc>
          <w:tcPr>
            <w:tcW w:type="dxa" w:w="3216"/>
          </w:tcPr>
          <w:p>
            <w:r>
              <w:rPr>
                <w:sz w:val="17"/>
              </w:rPr>
              <w:t>SC-03</w:t>
            </w:r>
          </w:p>
        </w:tc>
        <w:tc>
          <w:tcPr>
            <w:tcW w:type="dxa" w:w="3216"/>
          </w:tcPr>
          <w:p>
            <w:r>
              <w:rPr>
                <w:sz w:val="17"/>
              </w:rPr>
              <w:t>Encryption</w:t>
            </w:r>
          </w:p>
        </w:tc>
        <w:tc>
          <w:tcPr>
            <w:tcW w:type="dxa" w:w="3216"/>
          </w:tcPr>
          <w:p>
            <w:r>
              <w:rPr>
                <w:sz w:val="17"/>
              </w:rPr>
              <w:t>Data encrypted at rest on the appliance with keys held only by ACME. Supplier cannot read the data it transports.</w:t>
            </w:r>
          </w:p>
        </w:tc>
      </w:tr>
      <w:tr>
        <w:tc>
          <w:tcPr>
            <w:tcW w:type="dxa" w:w="3216"/>
          </w:tcPr>
          <w:p>
            <w:r>
              <w:rPr>
                <w:sz w:val="17"/>
              </w:rPr>
              <w:t>SC-04</w:t>
            </w:r>
          </w:p>
        </w:tc>
        <w:tc>
          <w:tcPr>
            <w:tcW w:type="dxa" w:w="3216"/>
          </w:tcPr>
          <w:p>
            <w:r>
              <w:rPr>
                <w:sz w:val="17"/>
              </w:rPr>
              <w:t>Transport and insurance</w:t>
            </w:r>
          </w:p>
        </w:tc>
        <w:tc>
          <w:tcPr>
            <w:tcW w:type="dxa" w:w="3216"/>
          </w:tcPr>
          <w:p>
            <w:r>
              <w:rPr>
                <w:sz w:val="17"/>
              </w:rPr>
              <w:t>Insured transport at replacement value of the media plus notification cost in the event of loss.</w:t>
            </w:r>
          </w:p>
        </w:tc>
      </w:tr>
      <w:tr>
        <w:tc>
          <w:tcPr>
            <w:tcW w:type="dxa" w:w="3216"/>
          </w:tcPr>
          <w:p>
            <w:r>
              <w:rPr>
                <w:sz w:val="17"/>
              </w:rPr>
              <w:t>SC-05</w:t>
            </w:r>
          </w:p>
        </w:tc>
        <w:tc>
          <w:tcPr>
            <w:tcW w:type="dxa" w:w="3216"/>
          </w:tcPr>
          <w:p>
            <w:r>
              <w:rPr>
                <w:sz w:val="17"/>
              </w:rPr>
              <w:t>Ingest verification</w:t>
            </w:r>
          </w:p>
        </w:tc>
        <w:tc>
          <w:tcPr>
            <w:tcW w:type="dxa" w:w="3216"/>
          </w:tcPr>
          <w:p>
            <w:r>
              <w:rPr>
                <w:sz w:val="17"/>
              </w:rPr>
              <w:t>Checksums verified on ingest; a failed appliance is re-run at Supplier cost.</w:t>
            </w:r>
          </w:p>
        </w:tc>
      </w:tr>
      <w:tr>
        <w:tc>
          <w:tcPr>
            <w:tcW w:type="dxa" w:w="3216"/>
          </w:tcPr>
          <w:p>
            <w:r>
              <w:rPr>
                <w:sz w:val="17"/>
              </w:rPr>
              <w:t>SC-06</w:t>
            </w:r>
          </w:p>
        </w:tc>
        <w:tc>
          <w:tcPr>
            <w:tcW w:type="dxa" w:w="3216"/>
          </w:tcPr>
          <w:p>
            <w:r>
              <w:rPr>
                <w:sz w:val="17"/>
              </w:rPr>
              <w:t>Certified destruction</w:t>
            </w:r>
          </w:p>
        </w:tc>
        <w:tc>
          <w:tcPr>
            <w:tcW w:type="dxa" w:w="3216"/>
          </w:tcPr>
          <w:p>
            <w:r>
              <w:rPr>
                <w:sz w:val="17"/>
              </w:rPr>
              <w:t>⚠ Appliance media sanitized to standard after successful ingest, with a certificate of destruction per appliance.</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Appliances delivered on the rotation schedule</w:t>
            </w:r>
          </w:p>
        </w:tc>
        <w:tc>
          <w:tcPr>
            <w:tcW w:type="dxa" w:w="3216"/>
          </w:tcPr>
          <w:p>
            <w:r>
              <w:rPr>
                <w:sz w:val="17"/>
              </w:rPr>
              <w:t>Against the wave plan calendar</w:t>
            </w:r>
          </w:p>
        </w:tc>
      </w:tr>
      <w:tr>
        <w:tc>
          <w:tcPr>
            <w:tcW w:type="dxa" w:w="3216"/>
          </w:tcPr>
          <w:p>
            <w:r>
              <w:rPr>
                <w:sz w:val="17"/>
              </w:rPr>
              <w:t>DL-02</w:t>
            </w:r>
          </w:p>
        </w:tc>
        <w:tc>
          <w:tcPr>
            <w:tcW w:type="dxa" w:w="3216"/>
          </w:tcPr>
          <w:p>
            <w:r>
              <w:rPr>
                <w:sz w:val="17"/>
              </w:rPr>
              <w:t>Chain of custody records</w:t>
            </w:r>
          </w:p>
        </w:tc>
        <w:tc>
          <w:tcPr>
            <w:tcW w:type="dxa" w:w="3216"/>
          </w:tcPr>
          <w:p>
            <w:r>
              <w:rPr>
                <w:sz w:val="17"/>
              </w:rPr>
              <w:t>Complete and signed for every rotation</w:t>
            </w:r>
          </w:p>
        </w:tc>
      </w:tr>
      <w:tr>
        <w:tc>
          <w:tcPr>
            <w:tcW w:type="dxa" w:w="3216"/>
          </w:tcPr>
          <w:p>
            <w:r>
              <w:rPr>
                <w:sz w:val="17"/>
              </w:rPr>
              <w:t>DL-03</w:t>
            </w:r>
          </w:p>
        </w:tc>
        <w:tc>
          <w:tcPr>
            <w:tcW w:type="dxa" w:w="3216"/>
          </w:tcPr>
          <w:p>
            <w:r>
              <w:rPr>
                <w:sz w:val="17"/>
              </w:rPr>
              <w:t>Ingest verification report</w:t>
            </w:r>
          </w:p>
        </w:tc>
        <w:tc>
          <w:tcPr>
            <w:tcW w:type="dxa" w:w="3216"/>
          </w:tcPr>
          <w:p>
            <w:r>
              <w:rPr>
                <w:sz w:val="17"/>
              </w:rPr>
              <w:t>Checksums matched, record counts reconciled</w:t>
            </w:r>
          </w:p>
        </w:tc>
      </w:tr>
      <w:tr>
        <w:tc>
          <w:tcPr>
            <w:tcW w:type="dxa" w:w="3216"/>
          </w:tcPr>
          <w:p>
            <w:r>
              <w:rPr>
                <w:sz w:val="17"/>
              </w:rPr>
              <w:t>DL-04</w:t>
            </w:r>
          </w:p>
        </w:tc>
        <w:tc>
          <w:tcPr>
            <w:tcW w:type="dxa" w:w="3216"/>
          </w:tcPr>
          <w:p>
            <w:r>
              <w:rPr>
                <w:sz w:val="17"/>
              </w:rPr>
              <w:t>Certificates of destruction</w:t>
            </w:r>
          </w:p>
        </w:tc>
        <w:tc>
          <w:tcPr>
            <w:tcW w:type="dxa" w:w="3216"/>
          </w:tcPr>
          <w:p>
            <w:r>
              <w:rPr>
                <w:sz w:val="17"/>
              </w:rPr>
              <w:t>⚠ One per appliance. The engagement is not complete without all of them.</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Appliance failure in transit</w:t>
            </w:r>
          </w:p>
        </w:tc>
        <w:tc>
          <w:tcPr>
            <w:tcW w:type="dxa" w:w="2412"/>
          </w:tcPr>
          <w:p>
            <w:r>
              <w:rPr>
                <w:sz w:val="17"/>
              </w:rPr>
              <w:t>Replacement within 3 business days</w:t>
            </w:r>
          </w:p>
        </w:tc>
        <w:tc>
          <w:tcPr>
            <w:tcW w:type="dxa" w:w="2412"/>
          </w:tcPr>
          <w:p>
            <w:r>
              <w:rPr>
                <w:sz w:val="17"/>
              </w:rPr>
              <w:t>—</w:t>
            </w:r>
          </w:p>
        </w:tc>
        <w:tc>
          <w:tcPr>
            <w:tcW w:type="dxa" w:w="2412"/>
          </w:tcPr>
          <w:p>
            <w:r>
              <w:rPr>
                <w:sz w:val="17"/>
              </w:rPr>
              <w:t>At Supplier cost</w:t>
            </w:r>
          </w:p>
        </w:tc>
      </w:tr>
      <w:tr>
        <w:tc>
          <w:tcPr>
            <w:tcW w:type="dxa" w:w="2412"/>
          </w:tcPr>
          <w:p>
            <w:r>
              <w:rPr>
                <w:sz w:val="17"/>
              </w:rPr>
              <w:t>Failed ingest</w:t>
            </w:r>
          </w:p>
        </w:tc>
        <w:tc>
          <w:tcPr>
            <w:tcW w:type="dxa" w:w="2412"/>
          </w:tcPr>
          <w:p>
            <w:r>
              <w:rPr>
                <w:sz w:val="17"/>
              </w:rPr>
              <w:t>Re-run within 5 business days</w:t>
            </w:r>
          </w:p>
        </w:tc>
        <w:tc>
          <w:tcPr>
            <w:tcW w:type="dxa" w:w="2412"/>
          </w:tcPr>
          <w:p>
            <w:r>
              <w:rPr>
                <w:sz w:val="17"/>
              </w:rPr>
              <w:t>—</w:t>
            </w:r>
          </w:p>
        </w:tc>
        <w:tc>
          <w:tcPr>
            <w:tcW w:type="dxa" w:w="2412"/>
          </w:tcPr>
          <w:p>
            <w:r>
              <w:rPr>
                <w:sz w:val="17"/>
              </w:rPr>
              <w:t>At Supplier cost</w:t>
            </w:r>
          </w:p>
        </w:tc>
      </w:tr>
      <w:tr>
        <w:tc>
          <w:tcPr>
            <w:tcW w:type="dxa" w:w="2412"/>
          </w:tcPr>
          <w:p>
            <w:r>
              <w:rPr>
                <w:sz w:val="17"/>
              </w:rPr>
              <w:t>Custody record</w:t>
            </w:r>
          </w:p>
        </w:tc>
        <w:tc>
          <w:tcPr>
            <w:tcW w:type="dxa" w:w="2412"/>
          </w:tcPr>
          <w:p>
            <w:r>
              <w:rPr>
                <w:sz w:val="17"/>
              </w:rPr>
              <w:t>Same day</w:t>
            </w:r>
          </w:p>
        </w:tc>
        <w:tc>
          <w:tcPr>
            <w:tcW w:type="dxa" w:w="2412"/>
          </w:tcPr>
          <w:p>
            <w:r>
              <w:rPr>
                <w:sz w:val="17"/>
              </w:rPr>
              <w:t>—</w:t>
            </w:r>
          </w:p>
        </w:tc>
        <w:tc>
          <w:tcPr>
            <w:tcW w:type="dxa" w:w="2412"/>
          </w:tcPr>
          <w:p>
            <w:r>
              <w:rPr>
                <w:sz w:val="17"/>
              </w:rPr>
              <w:t>⚠ A gap in custody is a reportable incident</w:t>
            </w:r>
          </w:p>
        </w:tc>
      </w:tr>
      <w:tr>
        <w:tc>
          <w:tcPr>
            <w:tcW w:type="dxa" w:w="2412"/>
          </w:tcPr>
          <w:p>
            <w:r>
              <w:rPr>
                <w:sz w:val="17"/>
              </w:rPr>
              <w:t>Destruction certificate</w:t>
            </w:r>
          </w:p>
        </w:tc>
        <w:tc>
          <w:tcPr>
            <w:tcW w:type="dxa" w:w="2412"/>
          </w:tcPr>
          <w:p>
            <w:r>
              <w:rPr>
                <w:sz w:val="17"/>
              </w:rPr>
              <w:t>10 business days after ingest</w:t>
            </w:r>
          </w:p>
        </w:tc>
        <w:tc>
          <w:tcPr>
            <w:tcW w:type="dxa" w:w="2412"/>
          </w:tcPr>
          <w:p>
            <w:r>
              <w:rPr>
                <w:sz w:val="17"/>
              </w:rPr>
              <w:t>—</w:t>
            </w:r>
          </w:p>
        </w:tc>
        <w:tc>
          <w:tcPr>
            <w:tcW w:type="dxa" w:w="2412"/>
          </w:tcPr>
          <w:p>
            <w:r>
              <w:rPr>
                <w:sz w:val="17"/>
              </w:rPr>
              <w:t>Per appliance</w:t>
            </w:r>
          </w:p>
        </w:tc>
      </w:tr>
    </w:tbl>
    <w:p/>
    <w:p>
      <w:pPr>
        <w:spacing w:before="320"/>
      </w:pPr>
      <w:r>
        <w:rPr>
          <w:b/>
          <w:color w:val="12304A"/>
          <w:sz w:val="28"/>
        </w:rPr>
        <w:t>5. Warranty, Support and Version Obligations</w:t>
      </w:r>
    </w:p>
    <w:p>
      <w:r>
        <w:t>The obligations below are mandatory under Vendor Management Plan §5 and are not subject to negotiation on price. They govern the period after acceptance, which is where the cost of an incomplete statement of work is actually incurred.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Term</w:t>
            </w:r>
          </w:p>
        </w:tc>
        <w:tc>
          <w:tcPr>
            <w:tcW w:type="dxa" w:w="3216"/>
          </w:tcPr>
          <w:p>
            <w:r>
              <w:rPr>
                <w:b/>
                <w:sz w:val="17"/>
              </w:rPr>
              <w:t>Provision</w:t>
            </w:r>
          </w:p>
        </w:tc>
      </w:tr>
      <w:tr>
        <w:tc>
          <w:tcPr>
            <w:tcW w:type="dxa" w:w="3216"/>
          </w:tcPr>
          <w:p>
            <w:r>
              <w:rPr>
                <w:sz w:val="17"/>
              </w:rPr>
              <w:t>SW-01</w:t>
            </w:r>
          </w:p>
        </w:tc>
        <w:tc>
          <w:tcPr>
            <w:tcW w:type="dxa" w:w="3216"/>
          </w:tcPr>
          <w:p>
            <w:r>
              <w:rPr>
                <w:sz w:val="17"/>
              </w:rPr>
              <w:t>Warranty period</w:t>
            </w:r>
          </w:p>
        </w:tc>
        <w:tc>
          <w:tcPr>
            <w:tcW w:type="dxa" w:w="3216"/>
          </w:tcPr>
          <w:p>
            <w:r>
              <w:rPr>
                <w:sz w:val="17"/>
              </w:rPr>
              <w:t>Supplier warrants the delivered software will perform materially in accordance with its documentation for twelve months from ACCEPTANCE. ⚠ Acceptance, not delivery — a warranty running from delivery can expire before the product is in production use.</w:t>
            </w:r>
          </w:p>
        </w:tc>
      </w:tr>
      <w:tr>
        <w:tc>
          <w:tcPr>
            <w:tcW w:type="dxa" w:w="3216"/>
          </w:tcPr>
          <w:p>
            <w:r>
              <w:rPr>
                <w:sz w:val="17"/>
              </w:rPr>
              <w:t>SW-03</w:t>
            </w:r>
          </w:p>
        </w:tc>
        <w:tc>
          <w:tcPr>
            <w:tcW w:type="dxa" w:w="3216"/>
          </w:tcPr>
          <w:p>
            <w:r>
              <w:rPr>
                <w:sz w:val="17"/>
              </w:rPr>
              <w:t>Support staffing and coverage</w:t>
            </w:r>
          </w:p>
        </w:tc>
        <w:tc>
          <w:tcPr>
            <w:tcW w:type="dxa" w:w="3216"/>
          </w:tcPr>
          <w:p>
            <w:r>
              <w:rPr>
                <w:sz w:val="17"/>
              </w:rPr>
              <w:t>Named support contacts with a defined escalation path. ⚠ Coverage extends to cutover weekends and hypercare periods on the program calendar, not Supplier's standard business hours. Coverage windows are listed by date in an annex updated at each wave.</w:t>
            </w:r>
          </w:p>
        </w:tc>
      </w:tr>
    </w:tbl>
    <w:p/>
    <w:p>
      <w:pPr>
        <w:spacing w:before="120"/>
        <w:ind w:left="360"/>
      </w:pPr>
      <w:r>
        <w:rPr>
          <w:i/>
          <w:color w:val="12304A"/>
          <w:sz w:val="20"/>
        </w:rPr>
        <w:t>Hardware rather than software: warranty covers appliance failure during a rotation, and support covers the transfer window including weekends when an appliance is in transit or ingesting.</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Murfreesboro Secure Logistics.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Not applicable. ⚠ Supplier acquires no rights of any kind in the transported data and is prohibited from retaining, copying or indexing it.</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