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ANALYSIS · ARTIFACT 49 ·</w:t>
      </w:r>
    </w:p>
    <w:p>
      <w:r>
        <w:rPr>
          <w:b/>
          <w:color w:val="12304A"/>
          <w:sz w:val="44"/>
        </w:rPr>
        <w:t>Total Cost of Ownership</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Issued April 30, 2025 at program close. Every row of the Application Disposition Matrix — absorb, preserve, best-of-both, coexist — is a claim about what the estate will cost to run once the program is gone. Nothing else in this suite prices those claims. This is the number those decisions were betting on.</w:t>
      </w:r>
    </w:p>
    <w:p>
      <w:pPr>
        <w:spacing w:before="320"/>
      </w:pPr>
      <w:r>
        <w:rPr>
          <w:b/>
          <w:color w:val="12304A"/>
          <w:sz w:val="28"/>
        </w:rPr>
        <w:t>1. Why an estate, not a system</w:t>
      </w:r>
    </w:p>
    <w:p>
      <w:r>
        <w:t>A conventional total cost of ownership prices one system across a planning horizon: licenses, infrastructure, support, the upgrade in year four. That framing does not fit an acquisition. What the transaction produced was not a system but an estate — two organizations' worth of platforms, of which some merge, one is deliberately kept, one runs in parallel indefinitely, and one is rented from the company we bought the business from.</w:t>
      </w:r>
    </w:p>
    <w:p>
      <w:r>
        <w:t>The disposition matrix decided each of those cases on its merits. Every one of those decisions was, underneath, an assertion about run cost: absorbing two claims platforms into one asserts that one costs less than two; preserving care management asserts that its capability is worth its ongoing bill; exiting the transitional services asserts that ACME can run those functions for less than the parent charges. This page tests those assertions with numbers.</w:t>
      </w:r>
    </w:p>
    <w:p>
      <w:pPr>
        <w:spacing w:before="320"/>
      </w:pPr>
      <w:r>
        <w:rPr>
          <w:b/>
          <w:color w:val="12304A"/>
          <w:sz w:val="28"/>
        </w:rPr>
        <w:t>2. The estate, before and after</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Domain</w:t>
            </w:r>
          </w:p>
        </w:tc>
        <w:tc>
          <w:tcPr>
            <w:tcW w:type="dxa" w:w="1930"/>
          </w:tcPr>
          <w:p>
            <w:r>
              <w:rPr>
                <w:b/>
                <w:sz w:val="17"/>
              </w:rPr>
              <w:t>Disposition</w:t>
            </w:r>
          </w:p>
        </w:tc>
        <w:tc>
          <w:tcPr>
            <w:tcW w:type="dxa" w:w="1930"/>
          </w:tcPr>
          <w:p>
            <w:r>
              <w:rPr>
                <w:b/>
                <w:sz w:val="17"/>
              </w:rPr>
              <w:t>Two estates, annual</w:t>
            </w:r>
          </w:p>
        </w:tc>
        <w:tc>
          <w:tcPr>
            <w:tcW w:type="dxa" w:w="1930"/>
          </w:tcPr>
          <w:p>
            <w:r>
              <w:rPr>
                <w:b/>
                <w:sz w:val="17"/>
              </w:rPr>
              <w:t>Steady state, annual</w:t>
            </w:r>
          </w:p>
        </w:tc>
        <w:tc>
          <w:tcPr>
            <w:tcW w:type="dxa" w:w="1930"/>
          </w:tcPr>
          <w:p>
            <w:r>
              <w:rPr>
                <w:b/>
                <w:sz w:val="17"/>
              </w:rPr>
              <w:t>Change</w:t>
            </w:r>
          </w:p>
        </w:tc>
      </w:tr>
      <w:tr>
        <w:tc>
          <w:tcPr>
            <w:tcW w:type="dxa" w:w="1930"/>
          </w:tcPr>
          <w:p>
            <w:r>
              <w:rPr>
                <w:sz w:val="17"/>
              </w:rPr>
              <w:t>Core administration &amp; claims adjudication</w:t>
            </w:r>
          </w:p>
        </w:tc>
        <w:tc>
          <w:tcPr>
            <w:tcW w:type="dxa" w:w="1930"/>
          </w:tcPr>
          <w:p>
            <w:r>
              <w:rPr>
                <w:sz w:val="17"/>
              </w:rPr>
              <w:t>Absorb</w:t>
            </w:r>
          </w:p>
        </w:tc>
        <w:tc>
          <w:tcPr>
            <w:tcW w:type="dxa" w:w="1930"/>
          </w:tcPr>
          <w:p>
            <w:r>
              <w:rPr>
                <w:sz w:val="17"/>
              </w:rPr>
              <w:t>$14,200,000</w:t>
            </w:r>
          </w:p>
        </w:tc>
        <w:tc>
          <w:tcPr>
            <w:tcW w:type="dxa" w:w="1930"/>
          </w:tcPr>
          <w:p>
            <w:r>
              <w:rPr>
                <w:sz w:val="17"/>
              </w:rPr>
              <w:t>$9,600,000</w:t>
            </w:r>
          </w:p>
        </w:tc>
        <w:tc>
          <w:tcPr>
            <w:tcW w:type="dxa" w:w="1930"/>
          </w:tcPr>
          <w:p>
            <w:r>
              <w:rPr>
                <w:sz w:val="17"/>
              </w:rPr>
              <w:t>−$4,600,000</w:t>
            </w:r>
          </w:p>
        </w:tc>
      </w:tr>
      <w:tr>
        <w:tc>
          <w:tcPr>
            <w:tcW w:type="dxa" w:w="1930"/>
          </w:tcPr>
          <w:p>
            <w:r>
              <w:rPr>
                <w:sz w:val="17"/>
              </w:rPr>
              <w:t>Enrollment, eligibility &amp; member portal</w:t>
            </w:r>
          </w:p>
        </w:tc>
        <w:tc>
          <w:tcPr>
            <w:tcW w:type="dxa" w:w="1930"/>
          </w:tcPr>
          <w:p>
            <w:r>
              <w:rPr>
                <w:sz w:val="17"/>
              </w:rPr>
              <w:t>Absorb</w:t>
            </w:r>
          </w:p>
        </w:tc>
        <w:tc>
          <w:tcPr>
            <w:tcW w:type="dxa" w:w="1930"/>
          </w:tcPr>
          <w:p>
            <w:r>
              <w:rPr>
                <w:sz w:val="17"/>
              </w:rPr>
              <w:t>$5,400,000</w:t>
            </w:r>
          </w:p>
        </w:tc>
        <w:tc>
          <w:tcPr>
            <w:tcW w:type="dxa" w:w="1930"/>
          </w:tcPr>
          <w:p>
            <w:r>
              <w:rPr>
                <w:sz w:val="17"/>
              </w:rPr>
              <w:t>$3,500,000</w:t>
            </w:r>
          </w:p>
        </w:tc>
        <w:tc>
          <w:tcPr>
            <w:tcW w:type="dxa" w:w="1930"/>
          </w:tcPr>
          <w:p>
            <w:r>
              <w:rPr>
                <w:sz w:val="17"/>
              </w:rPr>
              <w:t>−$1,900,000</w:t>
            </w:r>
          </w:p>
        </w:tc>
      </w:tr>
      <w:tr>
        <w:tc>
          <w:tcPr>
            <w:tcW w:type="dxa" w:w="1930"/>
          </w:tcPr>
          <w:p>
            <w:r>
              <w:rPr>
                <w:sz w:val="17"/>
              </w:rPr>
              <w:t>EDI gateway &amp; clearinghouse connectivity</w:t>
            </w:r>
          </w:p>
        </w:tc>
        <w:tc>
          <w:tcPr>
            <w:tcW w:type="dxa" w:w="1930"/>
          </w:tcPr>
          <w:p>
            <w:r>
              <w:rPr>
                <w:sz w:val="17"/>
              </w:rPr>
              <w:t>Absorb</w:t>
            </w:r>
          </w:p>
        </w:tc>
        <w:tc>
          <w:tcPr>
            <w:tcW w:type="dxa" w:w="1930"/>
          </w:tcPr>
          <w:p>
            <w:r>
              <w:rPr>
                <w:sz w:val="17"/>
              </w:rPr>
              <w:t>$2,600,000</w:t>
            </w:r>
          </w:p>
        </w:tc>
        <w:tc>
          <w:tcPr>
            <w:tcW w:type="dxa" w:w="1930"/>
          </w:tcPr>
          <w:p>
            <w:r>
              <w:rPr>
                <w:sz w:val="17"/>
              </w:rPr>
              <w:t>$1,500,000</w:t>
            </w:r>
          </w:p>
        </w:tc>
        <w:tc>
          <w:tcPr>
            <w:tcW w:type="dxa" w:w="1930"/>
          </w:tcPr>
          <w:p>
            <w:r>
              <w:rPr>
                <w:sz w:val="17"/>
              </w:rPr>
              <w:t>−$1,100,000</w:t>
            </w:r>
          </w:p>
        </w:tc>
      </w:tr>
      <w:tr>
        <w:tc>
          <w:tcPr>
            <w:tcW w:type="dxa" w:w="1930"/>
          </w:tcPr>
          <w:p>
            <w:r>
              <w:rPr>
                <w:sz w:val="17"/>
              </w:rPr>
              <w:t>Provider data &amp; network contracting</w:t>
            </w:r>
          </w:p>
        </w:tc>
        <w:tc>
          <w:tcPr>
            <w:tcW w:type="dxa" w:w="1930"/>
          </w:tcPr>
          <w:p>
            <w:r>
              <w:rPr>
                <w:sz w:val="17"/>
              </w:rPr>
              <w:t>Absorb</w:t>
            </w:r>
          </w:p>
        </w:tc>
        <w:tc>
          <w:tcPr>
            <w:tcW w:type="dxa" w:w="1930"/>
          </w:tcPr>
          <w:p>
            <w:r>
              <w:rPr>
                <w:sz w:val="17"/>
              </w:rPr>
              <w:t>$4,100,000</w:t>
            </w:r>
          </w:p>
        </w:tc>
        <w:tc>
          <w:tcPr>
            <w:tcW w:type="dxa" w:w="1930"/>
          </w:tcPr>
          <w:p>
            <w:r>
              <w:rPr>
                <w:sz w:val="17"/>
              </w:rPr>
              <w:t>$2,800,000</w:t>
            </w:r>
          </w:p>
        </w:tc>
        <w:tc>
          <w:tcPr>
            <w:tcW w:type="dxa" w:w="1930"/>
          </w:tcPr>
          <w:p>
            <w:r>
              <w:rPr>
                <w:sz w:val="17"/>
              </w:rPr>
              <w:t>−$1,300,000</w:t>
            </w:r>
          </w:p>
        </w:tc>
      </w:tr>
      <w:tr>
        <w:tc>
          <w:tcPr>
            <w:tcW w:type="dxa" w:w="1930"/>
          </w:tcPr>
          <w:p>
            <w:r>
              <w:rPr>
                <w:sz w:val="17"/>
              </w:rPr>
              <w:t>Finance, actuarial &amp; reporting</w:t>
            </w:r>
          </w:p>
        </w:tc>
        <w:tc>
          <w:tcPr>
            <w:tcW w:type="dxa" w:w="1930"/>
          </w:tcPr>
          <w:p>
            <w:r>
              <w:rPr>
                <w:sz w:val="17"/>
              </w:rPr>
              <w:t>Absorb</w:t>
            </w:r>
          </w:p>
        </w:tc>
        <w:tc>
          <w:tcPr>
            <w:tcW w:type="dxa" w:w="1930"/>
          </w:tcPr>
          <w:p>
            <w:r>
              <w:rPr>
                <w:sz w:val="17"/>
              </w:rPr>
              <w:t>$3,900,000</w:t>
            </w:r>
          </w:p>
        </w:tc>
        <w:tc>
          <w:tcPr>
            <w:tcW w:type="dxa" w:w="1930"/>
          </w:tcPr>
          <w:p>
            <w:r>
              <w:rPr>
                <w:sz w:val="17"/>
              </w:rPr>
              <w:t>$2,600,000</w:t>
            </w:r>
          </w:p>
        </w:tc>
        <w:tc>
          <w:tcPr>
            <w:tcW w:type="dxa" w:w="1930"/>
          </w:tcPr>
          <w:p>
            <w:r>
              <w:rPr>
                <w:sz w:val="17"/>
              </w:rPr>
              <w:t>−$1,300,000</w:t>
            </w:r>
          </w:p>
        </w:tc>
      </w:tr>
      <w:tr>
        <w:tc>
          <w:tcPr>
            <w:tcW w:type="dxa" w:w="1930"/>
          </w:tcPr>
          <w:p>
            <w:r>
              <w:rPr>
                <w:sz w:val="17"/>
              </w:rPr>
              <w:t>Utilization management</w:t>
            </w:r>
          </w:p>
        </w:tc>
        <w:tc>
          <w:tcPr>
            <w:tcW w:type="dxa" w:w="1930"/>
          </w:tcPr>
          <w:p>
            <w:r>
              <w:rPr>
                <w:sz w:val="17"/>
              </w:rPr>
              <w:t>Best-of-both</w:t>
            </w:r>
          </w:p>
        </w:tc>
        <w:tc>
          <w:tcPr>
            <w:tcW w:type="dxa" w:w="1930"/>
          </w:tcPr>
          <w:p>
            <w:r>
              <w:rPr>
                <w:sz w:val="17"/>
              </w:rPr>
              <w:t>$2,400,000</w:t>
            </w:r>
          </w:p>
        </w:tc>
        <w:tc>
          <w:tcPr>
            <w:tcW w:type="dxa" w:w="1930"/>
          </w:tcPr>
          <w:p>
            <w:r>
              <w:rPr>
                <w:sz w:val="17"/>
              </w:rPr>
              <w:t>$1,900,000</w:t>
            </w:r>
          </w:p>
        </w:tc>
        <w:tc>
          <w:tcPr>
            <w:tcW w:type="dxa" w:w="1930"/>
          </w:tcPr>
          <w:p>
            <w:r>
              <w:rPr>
                <w:sz w:val="17"/>
              </w:rPr>
              <w:t>−$500,000</w:t>
            </w:r>
          </w:p>
        </w:tc>
      </w:tr>
      <w:tr>
        <w:tc>
          <w:tcPr>
            <w:tcW w:type="dxa" w:w="1930"/>
          </w:tcPr>
          <w:p>
            <w:r>
              <w:rPr>
                <w:sz w:val="17"/>
              </w:rPr>
              <w:t>Member services CRM</w:t>
            </w:r>
          </w:p>
        </w:tc>
        <w:tc>
          <w:tcPr>
            <w:tcW w:type="dxa" w:w="1930"/>
          </w:tcPr>
          <w:p>
            <w:r>
              <w:rPr>
                <w:sz w:val="17"/>
              </w:rPr>
              <w:t>Coexist</w:t>
            </w:r>
          </w:p>
        </w:tc>
        <w:tc>
          <w:tcPr>
            <w:tcW w:type="dxa" w:w="1930"/>
          </w:tcPr>
          <w:p>
            <w:r>
              <w:rPr>
                <w:sz w:val="17"/>
              </w:rPr>
              <w:t>$3,100,000</w:t>
            </w:r>
          </w:p>
        </w:tc>
        <w:tc>
          <w:tcPr>
            <w:tcW w:type="dxa" w:w="1930"/>
          </w:tcPr>
          <w:p>
            <w:r>
              <w:rPr>
                <w:sz w:val="17"/>
              </w:rPr>
              <w:t>$2,400,000</w:t>
            </w:r>
          </w:p>
        </w:tc>
        <w:tc>
          <w:tcPr>
            <w:tcW w:type="dxa" w:w="1930"/>
          </w:tcPr>
          <w:p>
            <w:r>
              <w:rPr>
                <w:sz w:val="17"/>
              </w:rPr>
              <w:t>−$700,000</w:t>
            </w:r>
          </w:p>
        </w:tc>
      </w:tr>
      <w:tr>
        <w:tc>
          <w:tcPr>
            <w:tcW w:type="dxa" w:w="1930"/>
          </w:tcPr>
          <w:p>
            <w:r>
              <w:rPr>
                <w:sz w:val="17"/>
              </w:rPr>
              <w:t>Care management platform</w:t>
            </w:r>
          </w:p>
        </w:tc>
        <w:tc>
          <w:tcPr>
            <w:tcW w:type="dxa" w:w="1930"/>
          </w:tcPr>
          <w:p>
            <w:r>
              <w:rPr>
                <w:sz w:val="17"/>
              </w:rPr>
              <w:t>Preserve</w:t>
            </w:r>
          </w:p>
        </w:tc>
        <w:tc>
          <w:tcPr>
            <w:tcW w:type="dxa" w:w="1930"/>
          </w:tcPr>
          <w:p>
            <w:r>
              <w:rPr>
                <w:sz w:val="17"/>
              </w:rPr>
              <w:t>$2,800,000</w:t>
            </w:r>
          </w:p>
        </w:tc>
        <w:tc>
          <w:tcPr>
            <w:tcW w:type="dxa" w:w="1930"/>
          </w:tcPr>
          <w:p>
            <w:r>
              <w:rPr>
                <w:sz w:val="17"/>
              </w:rPr>
              <w:t>$2,800,000</w:t>
            </w:r>
          </w:p>
        </w:tc>
        <w:tc>
          <w:tcPr>
            <w:tcW w:type="dxa" w:w="1930"/>
          </w:tcPr>
          <w:p>
            <w:r>
              <w:rPr>
                <w:sz w:val="17"/>
              </w:rPr>
              <w:t>—</w:t>
            </w:r>
          </w:p>
        </w:tc>
      </w:tr>
      <w:tr>
        <w:tc>
          <w:tcPr>
            <w:tcW w:type="dxa" w:w="1930"/>
          </w:tcPr>
          <w:p>
            <w:r>
              <w:rPr>
                <w:sz w:val="17"/>
              </w:rPr>
              <w:t>Infrastructure &amp; hosting</w:t>
            </w:r>
          </w:p>
        </w:tc>
        <w:tc>
          <w:tcPr>
            <w:tcW w:type="dxa" w:w="1930"/>
          </w:tcPr>
          <w:p>
            <w:r>
              <w:rPr>
                <w:sz w:val="17"/>
              </w:rPr>
              <w:t>Absorb (cloud)</w:t>
            </w:r>
          </w:p>
        </w:tc>
        <w:tc>
          <w:tcPr>
            <w:tcW w:type="dxa" w:w="1930"/>
          </w:tcPr>
          <w:p>
            <w:r>
              <w:rPr>
                <w:sz w:val="17"/>
              </w:rPr>
              <w:t>$9,800,000</w:t>
            </w:r>
          </w:p>
        </w:tc>
        <w:tc>
          <w:tcPr>
            <w:tcW w:type="dxa" w:w="1930"/>
          </w:tcPr>
          <w:p>
            <w:r>
              <w:rPr>
                <w:sz w:val="17"/>
              </w:rPr>
              <w:t>$6,100,000</w:t>
            </w:r>
          </w:p>
        </w:tc>
        <w:tc>
          <w:tcPr>
            <w:tcW w:type="dxa" w:w="1930"/>
          </w:tcPr>
          <w:p>
            <w:r>
              <w:rPr>
                <w:sz w:val="17"/>
              </w:rPr>
              <w:t>−$3,700,000</w:t>
            </w:r>
          </w:p>
        </w:tc>
      </w:tr>
      <w:tr>
        <w:tc>
          <w:tcPr>
            <w:tcW w:type="dxa" w:w="1930"/>
          </w:tcPr>
          <w:p>
            <w:r>
              <w:rPr>
                <w:sz w:val="17"/>
              </w:rPr>
              <w:t>Transitional services from the divesting parent</w:t>
            </w:r>
          </w:p>
        </w:tc>
        <w:tc>
          <w:tcPr>
            <w:tcW w:type="dxa" w:w="1930"/>
          </w:tcPr>
          <w:p>
            <w:r>
              <w:rPr>
                <w:sz w:val="17"/>
              </w:rPr>
              <w:t>Exit</w:t>
            </w:r>
          </w:p>
        </w:tc>
        <w:tc>
          <w:tcPr>
            <w:tcW w:type="dxa" w:w="1930"/>
          </w:tcPr>
          <w:p>
            <w:r>
              <w:rPr>
                <w:sz w:val="17"/>
              </w:rPr>
              <w:t>$4,700,000</w:t>
            </w:r>
          </w:p>
        </w:tc>
        <w:tc>
          <w:tcPr>
            <w:tcW w:type="dxa" w:w="1930"/>
          </w:tcPr>
          <w:p>
            <w:r>
              <w:rPr>
                <w:sz w:val="17"/>
              </w:rPr>
              <w:t>$0</w:t>
            </w:r>
          </w:p>
        </w:tc>
        <w:tc>
          <w:tcPr>
            <w:tcW w:type="dxa" w:w="1930"/>
          </w:tcPr>
          <w:p>
            <w:r>
              <w:rPr>
                <w:sz w:val="17"/>
              </w:rPr>
              <w:t>−$4,700,000</w:t>
            </w:r>
          </w:p>
        </w:tc>
      </w:tr>
      <w:tr>
        <w:tc>
          <w:tcPr>
            <w:tcW w:type="dxa" w:w="1930"/>
          </w:tcPr>
          <w:p>
            <w:r>
              <w:rPr>
                <w:sz w:val="17"/>
              </w:rPr>
              <w:t>Estate</w:t>
            </w:r>
          </w:p>
        </w:tc>
        <w:tc>
          <w:tcPr>
            <w:tcW w:type="dxa" w:w="1930"/>
          </w:tcPr>
          <w:p>
            <w:r>
              <w:rPr>
                <w:sz w:val="17"/>
              </w:rPr>
              <w:t>$53,000,000</w:t>
            </w:r>
          </w:p>
        </w:tc>
        <w:tc>
          <w:tcPr>
            <w:tcW w:type="dxa" w:w="1930"/>
          </w:tcPr>
          <w:p>
            <w:r>
              <w:rPr>
                <w:sz w:val="17"/>
              </w:rPr>
              <w:t>$33,200,000</w:t>
            </w:r>
          </w:p>
        </w:tc>
        <w:tc>
          <w:tcPr>
            <w:tcW w:type="dxa" w:w="1930"/>
          </w:tcPr>
          <w:p>
            <w:r>
              <w:rPr>
                <w:sz w:val="17"/>
              </w:rPr>
              <w:t>−$19,800,000</w:t>
            </w:r>
          </w:p>
        </w:tc>
        <w:tc>
          <w:tcPr>
            <w:tcW w:type="dxa" w:w="1930"/>
          </w:tcPr>
          <w:p>
            <w:r>
              <w:rPr>
                <w:sz w:val="17"/>
              </w:rPr>
            </w:r>
          </w:p>
        </w:tc>
      </w:tr>
    </w:tbl>
    <w:p/>
    <w:p>
      <w:r>
        <w:t>Annual run cost falls from $53,000,000 to $33,200,000, a reduction of $19,800,000 a year. Over a five-year horizon the integrated estate costs $166,000,000 to operate.</w:t>
      </w:r>
    </w:p>
    <w:p>
      <w:pPr>
        <w:spacing w:before="120"/>
        <w:ind w:left="360"/>
      </w:pPr>
      <w:r>
        <w:rPr>
          <w:i/>
          <w:color w:val="12304A"/>
          <w:sz w:val="20"/>
        </w:rPr>
        <w:t>The largest single line is the one that disappears entirely. Transitional services cost $4,700,000 a year and go to zero at exit — not because anything got cheaper, but because ACME stopped renting its own operations from the company that sold it the business. That line is why exiting the TSA was always the real program, and why the extension that protected data integrity was expensive in a way a schedule slip usually is not: every additional month carried a bill from a counterparty with no incentive to hurry.</w:t>
      </w:r>
    </w:p>
    <w:p>
      <w:pPr>
        <w:spacing w:before="320"/>
      </w:pPr>
      <w:r>
        <w:rPr>
          <w:b/>
          <w:color w:val="12304A"/>
          <w:sz w:val="28"/>
        </w:rPr>
        <w:t>3. The three dispositions that do not save money</w:t>
      </w:r>
    </w:p>
    <w:p>
      <w:r>
        <w:t>Three rows above reduce run cost by little or nothing. Each is a deliberate decision rather than a failure to consolidate, and each carries an ongoing obligation that outlives this program.</w:t>
      </w:r>
    </w:p>
    <w:p>
      <w:pPr>
        <w:spacing w:before="120"/>
        <w:ind w:left="360"/>
      </w:pPr>
      <w:r>
        <w:rPr>
          <w:i/>
          <w:color w:val="12304A"/>
          <w:sz w:val="20"/>
        </w:rPr>
        <w:t>Care management is preserved, so it saves nothing — $2,800,000 a year, unchanged, forever. That is the argument, not an oversight. The capability was kept because it was demonstrably better than the acquirer's, and a preserved capability by definition produces no consolidation saving. What makes it the most exposed line on this page is what comes with it: it has no project team, no budget line of its own, and no deadline. Absorbed systems have a migration that ends and an owner who inherits them. A preserved system is simply still there on the Monday after the program closes — and it degrades in three ordinary ways: its people leave, nobody owns it, and it falls out of vendor support. The run cost is not the risk. The absence of anyone whose job it is to spend it is.</w:t>
      </w:r>
    </w:p>
    <w:p>
      <w:r>
        <w:t>Utilization management is best-of-both, which saves less than absorption because two components are retained and integrated rather than one being retired. Member services CRM coexists, which saves least of all: both systems keep running, and the saving is only the shared licensing renegotiated at consolidation. Coexistence was chosen to protect Day 1 member continuity, and its price is a duplicate platform on the run-cost line indefinitely until someone takes the decision the program deliberately deferred.</w:t>
      </w:r>
    </w:p>
    <w:p>
      <w:pPr>
        <w:spacing w:before="120"/>
        <w:ind w:left="360"/>
      </w:pPr>
      <w:r>
        <w:rPr>
          <w:i/>
          <w:color w:val="12304A"/>
          <w:sz w:val="20"/>
        </w:rPr>
        <w:t>A coexistence decision is never taken; it is passed. Nothing forces it. The two systems keep working, the line item keeps clearing, and each year the case for consolidating looks marginally weaker because the integration team that would have done it no longer exists. The characteristic failure of an integration is not a system that fails to migrate — it is two organizations still running parallel processes eighteen months after close because nobody was ever required to decide. This line is where that would show up first.</w:t>
      </w:r>
    </w:p>
    <w:p>
      <w:pPr>
        <w:spacing w:before="320"/>
      </w:pPr>
      <w:r>
        <w:rPr>
          <w:b/>
          <w:color w:val="12304A"/>
          <w:sz w:val="28"/>
        </w:rPr>
        <w:t>4. Reconciliation to the synergy case</w:t>
      </w:r>
    </w:p>
    <w:p>
      <w:r>
        <w:t>The $19,800,000 annual run-cost reduction is not a separate benefit. It is substantially the same money the synergy case books as platform and IT consolidation, $24,000,000 — approached from the estate side rather than the deal side. The two must be consistent, and this analysis is written so that they are: if the estate model and the synergy line diverged materially, one of them would be wrong.</w:t>
      </w:r>
    </w:p>
    <w:p>
      <w:r>
        <w:t>Stated against the $59,400,000 the integration cost, the estate reduction alone recovers the program's cost in under three years of run-rate, before any of the other four synergy sources are counted. That is a favorable number and it is deliberately not the headline, because the run-cost saving is the easiest part of the case to claim and the hardest to feel: it appears as an absence in future budgets rather than as money arriving.</w:t>
      </w:r>
    </w:p>
    <w:p>
      <w:pPr>
        <w:spacing w:before="320"/>
      </w:pPr>
      <w:r>
        <w:rPr>
          <w:b/>
          <w:color w:val="12304A"/>
          <w:sz w:val="28"/>
        </w:rPr>
        <w:t>5. What this number does not cover</w:t>
      </w:r>
    </w:p>
    <w:p>
      <w:pPr>
        <w:pStyle w:val="ListBullet"/>
      </w:pPr>
      <w:r>
        <w:t>The integration spend itself ($59,400,000). One-time cost of getting to this estate; priced in the Cost-Benefit Analysis, not here.</w:t>
      </w:r>
    </w:p>
    <w:p>
      <w:pPr>
        <w:pStyle w:val="ListBullet"/>
      </w:pPr>
      <w:r>
        <w:t>The purchase price. A transaction cost, not an ownership cost.</w:t>
      </w:r>
    </w:p>
    <w:p>
      <w:pPr>
        <w:pStyle w:val="ListBullet"/>
      </w:pPr>
      <w:r>
        <w:t>Refresh and modernization beyond steady state. Steady state means running what exists, not what it will need in five years. The absorbed core platform will require a major version upgrade inside that horizon and it is not priced here.</w:t>
      </w:r>
    </w:p>
    <w:p>
      <w:pPr>
        <w:pStyle w:val="ListBullet"/>
      </w:pPr>
      <w:r>
        <w:t>The Year 2 backlog. The two deferred items would change these figures if executed; neither is assumed.</w:t>
      </w:r>
    </w:p>
    <w:p>
      <w:pPr>
        <w:pStyle w:val="ListBullet"/>
      </w:pPr>
      <w:r>
        <w:t>Cloud consumption growth. Infrastructure is priced at the migrated footprint. A first-time cloud estate without mature cost management typically drifts upward, which is why FinOps ownership transfers at closeout rather than being left to whoever notices the bill.</w:t>
      </w:r>
    </w:p>
    <w:p>
      <w:r>
        <w:t>Related artifacts: 20 — Application Disposition Matrix · 48 — Cost-Benefit Analysis · 22 — TSA Schedule &amp; Exit Plan · BRD-05 — Preserved &amp; Best-of-Both</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