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ARTIFACT 21A ·</w:t>
      </w:r>
    </w:p>
    <w:p>
      <w:r>
        <w:rPr>
          <w:b/>
          <w:color w:val="12304A"/>
          <w:sz w:val="44"/>
        </w:rPr>
        <w:t>Vendor Management Plan</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How the program engages and runs the vendors it hires, issued August 28, 2023. This is distinct from two adjacent documents and the boundary matters: the Vendor &amp; Contract Disposition Matrix deals with contracts the program inherited and must keep, novate or exit; the Consulting SOW is one engagement's own paper. This plan governs everything the program buys — what each statement of work must contain, how performance is measured, and how a vendor is exited.</w:t>
      </w:r>
    </w:p>
    <w:p>
      <w:pPr>
        <w:spacing w:before="120"/>
        <w:ind w:left="360"/>
      </w:pPr>
      <w:r>
        <w:rPr>
          <w:i/>
          <w:color w:val="12304A"/>
          <w:sz w:val="20"/>
        </w:rPr>
        <w:t>A statement of work that ends at "delivered and working" transfers every future problem to the buyer at the moment of acceptance. This is the single most expensive omission in technology procurement, and it is invisible on the day it is made because on that day the thing works. What matters is what the contract says about the eighteen months after that — who fixes a defect found in month four, who applies the security patch, who pays when the vendor releases a version that breaks an interface, and who is contractually obliged to be available at two in the morning. §4 makes those terms mandatory rather than negotiable, precisely because they are the terms a vendor is most willing to drop to win on price.</w:t>
      </w:r>
    </w:p>
    <w:p>
      <w:pPr>
        <w:spacing w:before="320"/>
      </w:pPr>
      <w:r>
        <w:rPr>
          <w:b/>
          <w:color w:val="12304A"/>
          <w:sz w:val="28"/>
        </w:rPr>
        <w:t>1. Scope and Boundaries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Document</w:t>
            </w:r>
          </w:p>
        </w:tc>
        <w:tc>
          <w:tcPr>
            <w:tcW w:type="dxa" w:w="3216"/>
          </w:tcPr>
          <w:p>
            <w:r>
              <w:rPr>
                <w:b/>
                <w:sz w:val="17"/>
              </w:rPr>
              <w:t>Covers</w:t>
            </w:r>
          </w:p>
        </w:tc>
        <w:tc>
          <w:tcPr>
            <w:tcW w:type="dxa" w:w="3216"/>
          </w:tcPr>
          <w:p>
            <w:r>
              <w:rPr>
                <w:b/>
                <w:sz w:val="17"/>
              </w:rPr>
              <w:t>Boundary</w:t>
            </w:r>
          </w:p>
        </w:tc>
      </w:tr>
      <w:tr>
        <w:tc>
          <w:tcPr>
            <w:tcW w:type="dxa" w:w="3216"/>
          </w:tcPr>
          <w:p>
            <w:r>
              <w:rPr>
                <w:sz w:val="17"/>
              </w:rPr>
              <w:t>This plan</w:t>
            </w:r>
          </w:p>
        </w:tc>
        <w:tc>
          <w:tcPr>
            <w:tcW w:type="dxa" w:w="3216"/>
          </w:tcPr>
          <w:p>
            <w:r>
              <w:rPr>
                <w:sz w:val="17"/>
              </w:rPr>
              <w:t>Vendors the program engages</w:t>
            </w:r>
          </w:p>
        </w:tc>
        <w:tc>
          <w:tcPr>
            <w:tcW w:type="dxa" w:w="3216"/>
          </w:tcPr>
          <w:p>
            <w:r>
              <w:rPr>
                <w:sz w:val="17"/>
              </w:rPr>
              <w:t>Onboarding, SOW content, performance, escalation, exit</w:t>
            </w:r>
          </w:p>
        </w:tc>
      </w:tr>
      <w:tr>
        <w:tc>
          <w:tcPr>
            <w:tcW w:type="dxa" w:w="3216"/>
          </w:tcPr>
          <w:p>
            <w:r>
              <w:rPr>
                <w:sz w:val="17"/>
              </w:rPr>
              <w:t>21 — Disposition Matrix</w:t>
            </w:r>
          </w:p>
        </w:tc>
        <w:tc>
          <w:tcPr>
            <w:tcW w:type="dxa" w:w="3216"/>
          </w:tcPr>
          <w:p>
            <w:r>
              <w:rPr>
                <w:sz w:val="17"/>
              </w:rPr>
              <w:t>Contracts the program inherited</w:t>
            </w:r>
          </w:p>
        </w:tc>
        <w:tc>
          <w:tcPr>
            <w:tcW w:type="dxa" w:w="3216"/>
          </w:tcPr>
          <w:p>
            <w:r>
              <w:rPr>
                <w:sz w:val="17"/>
              </w:rPr>
              <w:t>⚠ Keep, novate, consolidate or terminate. Change-of-control mechanics.</w:t>
            </w:r>
          </w:p>
        </w:tc>
      </w:tr>
      <w:tr>
        <w:tc>
          <w:tcPr>
            <w:tcW w:type="dxa" w:w="3216"/>
          </w:tcPr>
          <w:p>
            <w:r>
              <w:rPr>
                <w:sz w:val="17"/>
              </w:rPr>
              <w:t>8 — Consulting SOW</w:t>
            </w:r>
          </w:p>
        </w:tc>
        <w:tc>
          <w:tcPr>
            <w:tcW w:type="dxa" w:w="3216"/>
          </w:tcPr>
          <w:p>
            <w:r>
              <w:rPr>
                <w:sz w:val="17"/>
              </w:rPr>
              <w:t>The Arrington engagement itself</w:t>
            </w:r>
          </w:p>
        </w:tc>
        <w:tc>
          <w:tcPr>
            <w:tcW w:type="dxa" w:w="3216"/>
          </w:tcPr>
          <w:p>
            <w:r>
              <w:rPr>
                <w:sz w:val="17"/>
              </w:rPr>
              <w:t>One instrument, plus the three-tier contracting model</w:t>
            </w:r>
          </w:p>
        </w:tc>
      </w:tr>
      <w:tr>
        <w:tc>
          <w:tcPr>
            <w:tcW w:type="dxa" w:w="3216"/>
          </w:tcPr>
          <w:p>
            <w:r>
              <w:rPr>
                <w:sz w:val="17"/>
              </w:rPr>
              <w:t>22 — TSA Exit Plan</w:t>
            </w:r>
          </w:p>
        </w:tc>
        <w:tc>
          <w:tcPr>
            <w:tcW w:type="dxa" w:w="3216"/>
          </w:tcPr>
          <w:p>
            <w:r>
              <w:rPr>
                <w:sz w:val="17"/>
              </w:rPr>
              <w:t>Cheatham Mutual Holdings</w:t>
            </w:r>
          </w:p>
        </w:tc>
        <w:tc>
          <w:tcPr>
            <w:tcW w:type="dxa" w:w="3216"/>
          </w:tcPr>
          <w:p>
            <w:r>
              <w:rPr>
                <w:sz w:val="17"/>
              </w:rPr>
              <w:t>⚠ The divesting parent is governed by the TSA, not by a program SOW</w:t>
            </w:r>
          </w:p>
        </w:tc>
      </w:tr>
    </w:tbl>
    <w:p/>
    <w:p>
      <w:pPr>
        <w:spacing w:before="320"/>
      </w:pPr>
      <w:r>
        <w:rPr>
          <w:b/>
          <w:color w:val="12304A"/>
          <w:sz w:val="28"/>
        </w:rPr>
        <w:t>2. Vendor Register and Engagement Model</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Vendor</w:t>
            </w:r>
          </w:p>
        </w:tc>
        <w:tc>
          <w:tcPr>
            <w:tcW w:type="dxa" w:w="1930"/>
          </w:tcPr>
          <w:p>
            <w:r>
              <w:rPr>
                <w:b/>
                <w:sz w:val="17"/>
              </w:rPr>
              <w:t>Vehicle</w:t>
            </w:r>
          </w:p>
        </w:tc>
        <w:tc>
          <w:tcPr>
            <w:tcW w:type="dxa" w:w="1930"/>
          </w:tcPr>
          <w:p>
            <w:r>
              <w:rPr>
                <w:b/>
                <w:sz w:val="17"/>
              </w:rPr>
              <w:t>ACME owner</w:t>
            </w:r>
          </w:p>
        </w:tc>
        <w:tc>
          <w:tcPr>
            <w:tcW w:type="dxa" w:w="1930"/>
          </w:tcPr>
          <w:p>
            <w:r>
              <w:rPr>
                <w:b/>
                <w:sz w:val="17"/>
              </w:rPr>
              <w:t>What they are engaged to deliver</w:t>
            </w:r>
          </w:p>
        </w:tc>
      </w:tr>
      <w:tr>
        <w:tc>
          <w:tcPr>
            <w:tcW w:type="dxa" w:w="1930"/>
          </w:tcPr>
          <w:p>
            <w:r>
              <w:rPr>
                <w:sz w:val="17"/>
              </w:rPr>
              <w:t>VN-01</w:t>
            </w:r>
          </w:p>
        </w:tc>
        <w:tc>
          <w:tcPr>
            <w:tcW w:type="dxa" w:w="1930"/>
          </w:tcPr>
          <w:p>
            <w:r>
              <w:rPr>
                <w:sz w:val="17"/>
              </w:rPr>
              <w:t>Arrington Advisory Group</w:t>
            </w:r>
          </w:p>
        </w:tc>
        <w:tc>
          <w:tcPr>
            <w:tcW w:type="dxa" w:w="1930"/>
          </w:tcPr>
          <w:p>
            <w:r>
              <w:rPr>
                <w:sz w:val="17"/>
              </w:rPr>
              <w:t>Deliverable SOW</w:t>
            </w:r>
          </w:p>
        </w:tc>
        <w:tc>
          <w:tcPr>
            <w:tcW w:type="dxa" w:w="1930"/>
          </w:tcPr>
          <w:p>
            <w:r>
              <w:rPr>
                <w:sz w:val="17"/>
              </w:rPr>
              <w:t>D. Ashmore</w:t>
            </w:r>
          </w:p>
        </w:tc>
        <w:tc>
          <w:tcPr>
            <w:tcW w:type="dxa" w:w="1930"/>
          </w:tcPr>
          <w:p>
            <w:r>
              <w:rPr>
                <w:sz w:val="17"/>
              </w:rPr>
              <w:t>Program management, identity resolution, integration and cloud architecture</w:t>
            </w:r>
          </w:p>
        </w:tc>
      </w:tr>
      <w:tr>
        <w:tc>
          <w:tcPr>
            <w:tcW w:type="dxa" w:w="1930"/>
          </w:tcPr>
          <w:p>
            <w:r>
              <w:rPr>
                <w:sz w:val="17"/>
              </w:rPr>
              <w:t>VN-02</w:t>
            </w:r>
          </w:p>
        </w:tc>
        <w:tc>
          <w:tcPr>
            <w:tcW w:type="dxa" w:w="1930"/>
          </w:tcPr>
          <w:p>
            <w:r>
              <w:rPr>
                <w:sz w:val="17"/>
              </w:rPr>
              <w:t>Rutherford Cloud Operations</w:t>
            </w:r>
          </w:p>
        </w:tc>
        <w:tc>
          <w:tcPr>
            <w:tcW w:type="dxa" w:w="1930"/>
          </w:tcPr>
          <w:p>
            <w:r>
              <w:rPr>
                <w:sz w:val="17"/>
              </w:rPr>
              <w:t>Fixed price + T&amp;M</w:t>
            </w:r>
          </w:p>
        </w:tc>
        <w:tc>
          <w:tcPr>
            <w:tcW w:type="dxa" w:w="1930"/>
          </w:tcPr>
          <w:p>
            <w:r>
              <w:rPr>
                <w:sz w:val="17"/>
              </w:rPr>
              <w:t>B. Trammell</w:t>
            </w:r>
          </w:p>
        </w:tc>
        <w:tc>
          <w:tcPr>
            <w:tcW w:type="dxa" w:w="1930"/>
          </w:tcPr>
          <w:p>
            <w:r>
              <w:rPr>
                <w:sz w:val="17"/>
              </w:rPr>
              <w:t>Co-managed cloud operations against a contracted step-down. ⚠ Software and platform terms apply — see §5.</w:t>
            </w:r>
          </w:p>
        </w:tc>
      </w:tr>
      <w:tr>
        <w:tc>
          <w:tcPr>
            <w:tcW w:type="dxa" w:w="1930"/>
          </w:tcPr>
          <w:p>
            <w:r>
              <w:rPr>
                <w:sz w:val="17"/>
              </w:rPr>
              <w:t>VN-03</w:t>
            </w:r>
          </w:p>
        </w:tc>
        <w:tc>
          <w:tcPr>
            <w:tcW w:type="dxa" w:w="1930"/>
          </w:tcPr>
          <w:p>
            <w:r>
              <w:rPr>
                <w:sz w:val="17"/>
              </w:rPr>
              <w:t>Gallatin EDI Assurance</w:t>
            </w:r>
          </w:p>
        </w:tc>
        <w:tc>
          <w:tcPr>
            <w:tcW w:type="dxa" w:w="1930"/>
          </w:tcPr>
          <w:p>
            <w:r>
              <w:rPr>
                <w:sz w:val="17"/>
              </w:rPr>
              <w:t>Fixed price</w:t>
            </w:r>
          </w:p>
        </w:tc>
        <w:tc>
          <w:tcPr>
            <w:tcW w:type="dxa" w:w="1930"/>
          </w:tcPr>
          <w:p>
            <w:r>
              <w:rPr>
                <w:sz w:val="17"/>
              </w:rPr>
              <w:t>W. Ferriday</w:t>
            </w:r>
          </w:p>
        </w:tc>
        <w:tc>
          <w:tcPr>
            <w:tcW w:type="dxa" w:w="1930"/>
          </w:tcPr>
          <w:p>
            <w:r>
              <w:rPr>
                <w:sz w:val="17"/>
              </w:rPr>
              <w:t>X12 transaction assurance across five transaction sets</w:t>
            </w:r>
          </w:p>
        </w:tc>
      </w:tr>
      <w:tr>
        <w:tc>
          <w:tcPr>
            <w:tcW w:type="dxa" w:w="1930"/>
          </w:tcPr>
          <w:p>
            <w:r>
              <w:rPr>
                <w:sz w:val="17"/>
              </w:rPr>
              <w:t>VN-04</w:t>
            </w:r>
          </w:p>
        </w:tc>
        <w:tc>
          <w:tcPr>
            <w:tcW w:type="dxa" w:w="1930"/>
          </w:tcPr>
          <w:p>
            <w:r>
              <w:rPr>
                <w:sz w:val="17"/>
              </w:rPr>
              <w:t>Two Rivers Talent Partners</w:t>
            </w:r>
          </w:p>
        </w:tc>
        <w:tc>
          <w:tcPr>
            <w:tcW w:type="dxa" w:w="1930"/>
          </w:tcPr>
          <w:p>
            <w:r>
              <w:rPr>
                <w:sz w:val="17"/>
              </w:rPr>
              <w:t>Staff aug</w:t>
            </w:r>
          </w:p>
        </w:tc>
        <w:tc>
          <w:tcPr>
            <w:tcW w:type="dxa" w:w="1930"/>
          </w:tcPr>
          <w:p>
            <w:r>
              <w:rPr>
                <w:sz w:val="17"/>
              </w:rPr>
              <w:t>T. Vandiver</w:t>
            </w:r>
          </w:p>
        </w:tc>
        <w:tc>
          <w:tcPr>
            <w:tcW w:type="dxa" w:w="1930"/>
          </w:tcPr>
          <w:p>
            <w:r>
              <w:rPr>
                <w:sz w:val="17"/>
              </w:rPr>
              <w:t>Data stewards for clerical review. ⚠ ACME directs the work and owns the outcome.</w:t>
            </w:r>
          </w:p>
        </w:tc>
      </w:tr>
      <w:tr>
        <w:tc>
          <w:tcPr>
            <w:tcW w:type="dxa" w:w="1930"/>
          </w:tcPr>
          <w:p>
            <w:r>
              <w:rPr>
                <w:sz w:val="17"/>
              </w:rPr>
              <w:t>VN-05</w:t>
            </w:r>
          </w:p>
        </w:tc>
        <w:tc>
          <w:tcPr>
            <w:tcW w:type="dxa" w:w="1930"/>
          </w:tcPr>
          <w:p>
            <w:r>
              <w:rPr>
                <w:sz w:val="17"/>
              </w:rPr>
              <w:t>Harpeth Clean Team Services</w:t>
            </w:r>
          </w:p>
        </w:tc>
        <w:tc>
          <w:tcPr>
            <w:tcW w:type="dxa" w:w="1930"/>
          </w:tcPr>
          <w:p>
            <w:r>
              <w:rPr>
                <w:sz w:val="17"/>
              </w:rPr>
              <w:t>Fixed price</w:t>
            </w:r>
          </w:p>
        </w:tc>
        <w:tc>
          <w:tcPr>
            <w:tcW w:type="dxa" w:w="1930"/>
          </w:tcPr>
          <w:p>
            <w:r>
              <w:rPr>
                <w:sz w:val="17"/>
              </w:rPr>
              <w:t>L. Hollingsworth</w:t>
            </w:r>
          </w:p>
        </w:tc>
        <w:tc>
          <w:tcPr>
            <w:tcW w:type="dxa" w:w="1930"/>
          </w:tcPr>
          <w:p>
            <w:r>
              <w:rPr>
                <w:sz w:val="17"/>
              </w:rPr>
              <w:t>Pre-close information barrier. Terminates at closing.</w:t>
            </w:r>
          </w:p>
        </w:tc>
      </w:tr>
      <w:tr>
        <w:tc>
          <w:tcPr>
            <w:tcW w:type="dxa" w:w="1930"/>
          </w:tcPr>
          <w:p>
            <w:r>
              <w:rPr>
                <w:sz w:val="17"/>
              </w:rPr>
              <w:t>VN-06</w:t>
            </w:r>
          </w:p>
        </w:tc>
        <w:tc>
          <w:tcPr>
            <w:tcW w:type="dxa" w:w="1930"/>
          </w:tcPr>
          <w:p>
            <w:r>
              <w:rPr>
                <w:sz w:val="17"/>
              </w:rPr>
              <w:t>Madison Data Systems — EMPI platform</w:t>
            </w:r>
          </w:p>
        </w:tc>
        <w:tc>
          <w:tcPr>
            <w:tcW w:type="dxa" w:w="1930"/>
          </w:tcPr>
          <w:p>
            <w:r>
              <w:rPr>
                <w:sz w:val="17"/>
              </w:rPr>
              <w:t>License + support</w:t>
            </w:r>
          </w:p>
        </w:tc>
        <w:tc>
          <w:tcPr>
            <w:tcW w:type="dxa" w:w="1930"/>
          </w:tcPr>
          <w:p>
            <w:r>
              <w:rPr>
                <w:sz w:val="17"/>
              </w:rPr>
              <w:t>Dr. A. Ravindran</w:t>
            </w:r>
          </w:p>
        </w:tc>
        <w:tc>
          <w:tcPr>
            <w:tcW w:type="dxa" w:w="1930"/>
          </w:tcPr>
          <w:p>
            <w:r>
              <w:rPr>
                <w:sz w:val="17"/>
              </w:rPr>
              <w:t>⚠ Software purchase. Warranty, support and version terms are mandatory — see §5.</w:t>
            </w:r>
          </w:p>
        </w:tc>
      </w:tr>
      <w:tr>
        <w:tc>
          <w:tcPr>
            <w:tcW w:type="dxa" w:w="1930"/>
          </w:tcPr>
          <w:p>
            <w:r>
              <w:rPr>
                <w:sz w:val="17"/>
              </w:rPr>
              <w:t>VN-07</w:t>
            </w:r>
          </w:p>
        </w:tc>
        <w:tc>
          <w:tcPr>
            <w:tcW w:type="dxa" w:w="1930"/>
          </w:tcPr>
          <w:p>
            <w:r>
              <w:rPr>
                <w:sz w:val="17"/>
              </w:rPr>
              <w:t>Azure — cloud platform</w:t>
            </w:r>
          </w:p>
        </w:tc>
        <w:tc>
          <w:tcPr>
            <w:tcW w:type="dxa" w:w="1930"/>
          </w:tcPr>
          <w:p>
            <w:r>
              <w:rPr>
                <w:sz w:val="17"/>
              </w:rPr>
              <w:t>Consumption</w:t>
            </w:r>
          </w:p>
        </w:tc>
        <w:tc>
          <w:tcPr>
            <w:tcW w:type="dxa" w:w="1930"/>
          </w:tcPr>
          <w:p>
            <w:r>
              <w:rPr>
                <w:sz w:val="17"/>
              </w:rPr>
              <w:t>B. Trammell</w:t>
            </w:r>
          </w:p>
        </w:tc>
        <w:tc>
          <w:tcPr>
            <w:tcW w:type="dxa" w:w="1930"/>
          </w:tcPr>
          <w:p>
            <w:r>
              <w:rPr>
                <w:sz w:val="17"/>
              </w:rPr>
              <w:t>Infrastructure and managed database services. Business associate agreement in place.</w:t>
            </w:r>
          </w:p>
        </w:tc>
      </w:tr>
      <w:tr>
        <w:tc>
          <w:tcPr>
            <w:tcW w:type="dxa" w:w="1930"/>
          </w:tcPr>
          <w:p>
            <w:r>
              <w:rPr>
                <w:sz w:val="17"/>
              </w:rPr>
              <w:t>VN-08</w:t>
            </w:r>
          </w:p>
        </w:tc>
        <w:tc>
          <w:tcPr>
            <w:tcW w:type="dxa" w:w="1930"/>
          </w:tcPr>
          <w:p>
            <w:r>
              <w:rPr>
                <w:sz w:val="17"/>
              </w:rPr>
              <w:t>Murfreesboro Secure Logistics — transfer appliances</w:t>
            </w:r>
          </w:p>
        </w:tc>
        <w:tc>
          <w:tcPr>
            <w:tcW w:type="dxa" w:w="1930"/>
          </w:tcPr>
          <w:p>
            <w:r>
              <w:rPr>
                <w:sz w:val="17"/>
              </w:rPr>
              <w:t>Fixed price</w:t>
            </w:r>
          </w:p>
        </w:tc>
        <w:tc>
          <w:tcPr>
            <w:tcW w:type="dxa" w:w="1930"/>
          </w:tcPr>
          <w:p>
            <w:r>
              <w:rPr>
                <w:sz w:val="17"/>
              </w:rPr>
              <w:t>D. Fontenot</w:t>
            </w:r>
          </w:p>
        </w:tc>
        <w:tc>
          <w:tcPr>
            <w:tcW w:type="dxa" w:w="1930"/>
          </w:tcPr>
          <w:p>
            <w:r>
              <w:rPr>
                <w:sz w:val="17"/>
              </w:rPr>
              <w:t>Five appliances, archive transfer. Chain of custody and destruction certificate.</w:t>
            </w:r>
          </w:p>
        </w:tc>
      </w:tr>
    </w:tbl>
    <w:p/>
    <w:p>
      <w:pPr>
        <w:spacing w:before="320"/>
      </w:pPr>
      <w:r>
        <w:rPr>
          <w:b/>
          <w:color w:val="12304A"/>
          <w:sz w:val="28"/>
        </w:rPr>
        <w:t>3. Onboarding Gate</w:t>
      </w:r>
    </w:p>
    <w:p>
      <w:r>
        <w:t>No vendor performs work before every condition is met. Each is evidenced, not asserted.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Condition</w:t>
            </w:r>
          </w:p>
        </w:tc>
        <w:tc>
          <w:tcPr>
            <w:tcW w:type="dxa" w:w="3216"/>
          </w:tcPr>
          <w:p>
            <w:r>
              <w:rPr>
                <w:b/>
                <w:sz w:val="17"/>
              </w:rPr>
              <w:t>Evidence</w:t>
            </w:r>
          </w:p>
        </w:tc>
      </w:tr>
      <w:tr>
        <w:tc>
          <w:tcPr>
            <w:tcW w:type="dxa" w:w="3216"/>
          </w:tcPr>
          <w:p>
            <w:r>
              <w:rPr>
                <w:sz w:val="17"/>
              </w:rPr>
              <w:t>ON-01</w:t>
            </w:r>
          </w:p>
        </w:tc>
        <w:tc>
          <w:tcPr>
            <w:tcW w:type="dxa" w:w="3216"/>
          </w:tcPr>
          <w:p>
            <w:r>
              <w:rPr>
                <w:sz w:val="17"/>
              </w:rPr>
              <w:t>Business associate agreement executed</w:t>
            </w:r>
          </w:p>
        </w:tc>
        <w:tc>
          <w:tcPr>
            <w:tcW w:type="dxa" w:w="3216"/>
          </w:tcPr>
          <w:p>
            <w:r>
              <w:rPr>
                <w:sz w:val="17"/>
              </w:rPr>
              <w:t>⚠ Required before any access to member data, not before go-live. Signed instrument on the BAA register.</w:t>
            </w:r>
          </w:p>
        </w:tc>
      </w:tr>
      <w:tr>
        <w:tc>
          <w:tcPr>
            <w:tcW w:type="dxa" w:w="3216"/>
          </w:tcPr>
          <w:p>
            <w:r>
              <w:rPr>
                <w:sz w:val="17"/>
              </w:rPr>
              <w:t>ON-02</w:t>
            </w:r>
          </w:p>
        </w:tc>
        <w:tc>
          <w:tcPr>
            <w:tcW w:type="dxa" w:w="3216"/>
          </w:tcPr>
          <w:p>
            <w:r>
              <w:rPr>
                <w:sz w:val="17"/>
              </w:rPr>
              <w:t>Security review completed</w:t>
            </w:r>
          </w:p>
        </w:tc>
        <w:tc>
          <w:tcPr>
            <w:tcW w:type="dxa" w:w="3216"/>
          </w:tcPr>
          <w:p>
            <w:r>
              <w:rPr>
                <w:sz w:val="17"/>
              </w:rPr>
              <w:t>Assessment on file; findings closed or accepted by the CISO with a named accepter</w:t>
            </w:r>
          </w:p>
        </w:tc>
      </w:tr>
      <w:tr>
        <w:tc>
          <w:tcPr>
            <w:tcW w:type="dxa" w:w="3216"/>
          </w:tcPr>
          <w:p>
            <w:r>
              <w:rPr>
                <w:sz w:val="17"/>
              </w:rPr>
              <w:t>ON-03</w:t>
            </w:r>
          </w:p>
        </w:tc>
        <w:tc>
          <w:tcPr>
            <w:tcW w:type="dxa" w:w="3216"/>
          </w:tcPr>
          <w:p>
            <w:r>
              <w:rPr>
                <w:sz w:val="17"/>
              </w:rPr>
              <w:t>Insurance certificates current</w:t>
            </w:r>
          </w:p>
        </w:tc>
        <w:tc>
          <w:tcPr>
            <w:tcW w:type="dxa" w:w="3216"/>
          </w:tcPr>
          <w:p>
            <w:r>
              <w:rPr>
                <w:sz w:val="17"/>
              </w:rPr>
              <w:t>Professional liability, cyber, workers compensation at contracted limits</w:t>
            </w:r>
          </w:p>
        </w:tc>
      </w:tr>
      <w:tr>
        <w:tc>
          <w:tcPr>
            <w:tcW w:type="dxa" w:w="3216"/>
          </w:tcPr>
          <w:p>
            <w:r>
              <w:rPr>
                <w:sz w:val="17"/>
              </w:rPr>
              <w:t>ON-04</w:t>
            </w:r>
          </w:p>
        </w:tc>
        <w:tc>
          <w:tcPr>
            <w:tcW w:type="dxa" w:w="3216"/>
          </w:tcPr>
          <w:p>
            <w:r>
              <w:rPr>
                <w:sz w:val="17"/>
              </w:rPr>
              <w:t>Data location commitment</w:t>
            </w:r>
          </w:p>
        </w:tc>
        <w:tc>
          <w:tcPr>
            <w:tcW w:type="dxa" w:w="3216"/>
          </w:tcPr>
          <w:p>
            <w:r>
              <w:rPr>
                <w:sz w:val="17"/>
              </w:rPr>
              <w:t>⚠ No member data outside the United States. Contractual, not policy.</w:t>
            </w:r>
          </w:p>
        </w:tc>
      </w:tr>
      <w:tr>
        <w:tc>
          <w:tcPr>
            <w:tcW w:type="dxa" w:w="3216"/>
          </w:tcPr>
          <w:p>
            <w:r>
              <w:rPr>
                <w:sz w:val="17"/>
              </w:rPr>
              <w:t>ON-05</w:t>
            </w:r>
          </w:p>
        </w:tc>
        <w:tc>
          <w:tcPr>
            <w:tcW w:type="dxa" w:w="3216"/>
          </w:tcPr>
          <w:p>
            <w:r>
              <w:rPr>
                <w:sz w:val="17"/>
              </w:rPr>
              <w:t>Named personnel and background checks</w:t>
            </w:r>
          </w:p>
        </w:tc>
        <w:tc>
          <w:tcPr>
            <w:tcW w:type="dxa" w:w="3216"/>
          </w:tcPr>
          <w:p>
            <w:r>
              <w:rPr>
                <w:sz w:val="17"/>
              </w:rPr>
              <w:t>Individuals identified; substitution requires ACME agreement for key roles</w:t>
            </w:r>
          </w:p>
        </w:tc>
      </w:tr>
      <w:tr>
        <w:tc>
          <w:tcPr>
            <w:tcW w:type="dxa" w:w="3216"/>
          </w:tcPr>
          <w:p>
            <w:r>
              <w:rPr>
                <w:sz w:val="17"/>
              </w:rPr>
              <w:t>ON-06</w:t>
            </w:r>
          </w:p>
        </w:tc>
        <w:tc>
          <w:tcPr>
            <w:tcW w:type="dxa" w:w="3216"/>
          </w:tcPr>
          <w:p>
            <w:r>
              <w:rPr>
                <w:sz w:val="17"/>
              </w:rPr>
              <w:t>Access provisioned to least privilege</w:t>
            </w:r>
          </w:p>
        </w:tc>
        <w:tc>
          <w:tcPr>
            <w:tcW w:type="dxa" w:w="3216"/>
          </w:tcPr>
          <w:p>
            <w:r>
              <w:rPr>
                <w:sz w:val="17"/>
              </w:rPr>
              <w:t>Just-in-time elevation where privileged access is needed; standing admin access is not granted</w:t>
            </w:r>
          </w:p>
        </w:tc>
      </w:tr>
      <w:tr>
        <w:tc>
          <w:tcPr>
            <w:tcW w:type="dxa" w:w="3216"/>
          </w:tcPr>
          <w:p>
            <w:r>
              <w:rPr>
                <w:sz w:val="17"/>
              </w:rPr>
              <w:t>ON-07</w:t>
            </w:r>
          </w:p>
        </w:tc>
        <w:tc>
          <w:tcPr>
            <w:tcW w:type="dxa" w:w="3216"/>
          </w:tcPr>
          <w:p>
            <w:r>
              <w:rPr>
                <w:sz w:val="17"/>
              </w:rPr>
              <w:t>SOW executed with §4 content complete</w:t>
            </w:r>
          </w:p>
        </w:tc>
        <w:tc>
          <w:tcPr>
            <w:tcW w:type="dxa" w:w="3216"/>
          </w:tcPr>
          <w:p>
            <w:r>
              <w:rPr>
                <w:sz w:val="17"/>
              </w:rPr>
              <w:t>⚠ An incomplete SOW is not a fast start; it is an unpriced obligation</w:t>
            </w:r>
          </w:p>
        </w:tc>
      </w:tr>
    </w:tbl>
    <w:p/>
    <w:p>
      <w:pPr>
        <w:spacing w:before="320"/>
      </w:pPr>
      <w:r>
        <w:rPr>
          <w:b/>
          <w:color w:val="12304A"/>
          <w:sz w:val="28"/>
        </w:rPr>
        <w:t>4. Mandatory Statement of Work Content</w:t>
      </w:r>
    </w:p>
    <w:p>
      <w:r>
        <w:t>Every program SOW carries these clauses. Anything absent is escalated to Procurement before signature rather than negotiated during delivery.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Clause</w:t>
            </w:r>
          </w:p>
        </w:tc>
        <w:tc>
          <w:tcPr>
            <w:tcW w:type="dxa" w:w="3216"/>
          </w:tcPr>
          <w:p>
            <w:r>
              <w:rPr>
                <w:b/>
                <w:sz w:val="17"/>
              </w:rPr>
              <w:t>Applies to</w:t>
            </w:r>
          </w:p>
        </w:tc>
        <w:tc>
          <w:tcPr>
            <w:tcW w:type="dxa" w:w="3216"/>
          </w:tcPr>
          <w:p>
            <w:r>
              <w:rPr>
                <w:b/>
                <w:sz w:val="17"/>
              </w:rPr>
              <w:t>Requirement</w:t>
            </w:r>
          </w:p>
        </w:tc>
      </w:tr>
      <w:tr>
        <w:tc>
          <w:tcPr>
            <w:tcW w:type="dxa" w:w="3216"/>
          </w:tcPr>
          <w:p>
            <w:r>
              <w:rPr>
                <w:sz w:val="17"/>
              </w:rPr>
              <w:t>Deliverables and acceptance criteria</w:t>
            </w:r>
          </w:p>
        </w:tc>
        <w:tc>
          <w:tcPr>
            <w:tcW w:type="dxa" w:w="3216"/>
          </w:tcPr>
          <w:p>
            <w:r>
              <w:rPr>
                <w:sz w:val="17"/>
              </w:rPr>
              <w:t>All</w:t>
            </w:r>
          </w:p>
        </w:tc>
        <w:tc>
          <w:tcPr>
            <w:tcW w:type="dxa" w:w="3216"/>
          </w:tcPr>
          <w:p>
            <w:r>
              <w:rPr>
                <w:sz w:val="17"/>
              </w:rPr>
              <w:t>What "done" means, tested how, accepted by whom. ⚠ Acceptance criteria written before work starts, not at invoice time.</w:t>
            </w:r>
          </w:p>
        </w:tc>
      </w:tr>
      <w:tr>
        <w:tc>
          <w:tcPr>
            <w:tcW w:type="dxa" w:w="3216"/>
          </w:tcPr>
          <w:p>
            <w:r>
              <w:rPr>
                <w:sz w:val="17"/>
              </w:rPr>
              <w:t>Named key personnel</w:t>
            </w:r>
          </w:p>
        </w:tc>
        <w:tc>
          <w:tcPr>
            <w:tcW w:type="dxa" w:w="3216"/>
          </w:tcPr>
          <w:p>
            <w:r>
              <w:rPr>
                <w:sz w:val="17"/>
              </w:rPr>
              <w:t>All</w:t>
            </w:r>
          </w:p>
        </w:tc>
        <w:tc>
          <w:tcPr>
            <w:tcW w:type="dxa" w:w="3216"/>
          </w:tcPr>
          <w:p>
            <w:r>
              <w:rPr>
                <w:sz w:val="17"/>
              </w:rPr>
              <w:t>Individuals named; substitution of key roles requires ACME agreement</w:t>
            </w:r>
          </w:p>
        </w:tc>
      </w:tr>
      <w:tr>
        <w:tc>
          <w:tcPr>
            <w:tcW w:type="dxa" w:w="3216"/>
          </w:tcPr>
          <w:p>
            <w:r>
              <w:rPr>
                <w:sz w:val="17"/>
              </w:rPr>
              <w:t>Rate card and vehicle</w:t>
            </w:r>
          </w:p>
        </w:tc>
        <w:tc>
          <w:tcPr>
            <w:tcW w:type="dxa" w:w="3216"/>
          </w:tcPr>
          <w:p>
            <w:r>
              <w:rPr>
                <w:sz w:val="17"/>
              </w:rPr>
              <w:t>All</w:t>
            </w:r>
          </w:p>
        </w:tc>
        <w:tc>
          <w:tcPr>
            <w:tcW w:type="dxa" w:w="3216"/>
          </w:tcPr>
          <w:p>
            <w:r>
              <w:rPr>
                <w:sz w:val="17"/>
              </w:rPr>
              <w:t>Deliverable, fixed price or time and materials, stated explicitly. ⚠ Not left to be inferred from how invoices arrive.</w:t>
            </w:r>
          </w:p>
        </w:tc>
      </w:tr>
      <w:tr>
        <w:tc>
          <w:tcPr>
            <w:tcW w:type="dxa" w:w="3216"/>
          </w:tcPr>
          <w:p>
            <w:r>
              <w:rPr>
                <w:sz w:val="17"/>
              </w:rPr>
              <w:t>Data handling and location</w:t>
            </w:r>
          </w:p>
        </w:tc>
        <w:tc>
          <w:tcPr>
            <w:tcW w:type="dxa" w:w="3216"/>
          </w:tcPr>
          <w:p>
            <w:r>
              <w:rPr>
                <w:sz w:val="17"/>
              </w:rPr>
              <w:t>All</w:t>
            </w:r>
          </w:p>
        </w:tc>
        <w:tc>
          <w:tcPr>
            <w:tcW w:type="dxa" w:w="3216"/>
          </w:tcPr>
          <w:p>
            <w:r>
              <w:rPr>
                <w:sz w:val="17"/>
              </w:rPr>
              <w:t>Business associate terms, encryption, retention, onshore constraint</w:t>
            </w:r>
          </w:p>
        </w:tc>
      </w:tr>
      <w:tr>
        <w:tc>
          <w:tcPr>
            <w:tcW w:type="dxa" w:w="3216"/>
          </w:tcPr>
          <w:p>
            <w:r>
              <w:rPr>
                <w:sz w:val="17"/>
              </w:rPr>
              <w:t>Security obligations</w:t>
            </w:r>
          </w:p>
        </w:tc>
        <w:tc>
          <w:tcPr>
            <w:tcW w:type="dxa" w:w="3216"/>
          </w:tcPr>
          <w:p>
            <w:r>
              <w:rPr>
                <w:sz w:val="17"/>
              </w:rPr>
              <w:t>All</w:t>
            </w:r>
          </w:p>
        </w:tc>
        <w:tc>
          <w:tcPr>
            <w:tcW w:type="dxa" w:w="3216"/>
          </w:tcPr>
          <w:p>
            <w:r>
              <w:rPr>
                <w:sz w:val="17"/>
              </w:rPr>
              <w:t>Incident notification window, right to audit, subcontractor flow-down</w:t>
            </w:r>
          </w:p>
        </w:tc>
      </w:tr>
      <w:tr>
        <w:tc>
          <w:tcPr>
            <w:tcW w:type="dxa" w:w="3216"/>
          </w:tcPr>
          <w:p>
            <w:r>
              <w:rPr>
                <w:sz w:val="17"/>
              </w:rPr>
              <w:t>Warranty period</w:t>
            </w:r>
          </w:p>
        </w:tc>
        <w:tc>
          <w:tcPr>
            <w:tcW w:type="dxa" w:w="3216"/>
          </w:tcPr>
          <w:p>
            <w:r>
              <w:rPr>
                <w:sz w:val="17"/>
              </w:rPr>
              <w:t>Software, hardware, cloud</w:t>
            </w:r>
          </w:p>
        </w:tc>
        <w:tc>
          <w:tcPr>
            <w:tcW w:type="dxa" w:w="3216"/>
          </w:tcPr>
          <w:p>
            <w:r>
              <w:rPr>
                <w:sz w:val="17"/>
              </w:rPr>
              <w:t>See §5</w:t>
            </w:r>
          </w:p>
        </w:tc>
      </w:tr>
      <w:tr>
        <w:tc>
          <w:tcPr>
            <w:tcW w:type="dxa" w:w="3216"/>
          </w:tcPr>
          <w:p>
            <w:r>
              <w:rPr>
                <w:sz w:val="17"/>
              </w:rPr>
              <w:t>Support model and staffing</w:t>
            </w:r>
          </w:p>
        </w:tc>
        <w:tc>
          <w:tcPr>
            <w:tcW w:type="dxa" w:w="3216"/>
          </w:tcPr>
          <w:p>
            <w:r>
              <w:rPr>
                <w:sz w:val="17"/>
              </w:rPr>
              <w:t>Software, hardware, cloud</w:t>
            </w:r>
          </w:p>
        </w:tc>
        <w:tc>
          <w:tcPr>
            <w:tcW w:type="dxa" w:w="3216"/>
          </w:tcPr>
          <w:p>
            <w:r>
              <w:rPr>
                <w:sz w:val="17"/>
              </w:rPr>
              <w:t>See §5</w:t>
            </w:r>
          </w:p>
        </w:tc>
      </w:tr>
      <w:tr>
        <w:tc>
          <w:tcPr>
            <w:tcW w:type="dxa" w:w="3216"/>
          </w:tcPr>
          <w:p>
            <w:r>
              <w:rPr>
                <w:sz w:val="17"/>
              </w:rPr>
              <w:t>Version and upgrade obligations</w:t>
            </w:r>
          </w:p>
        </w:tc>
        <w:tc>
          <w:tcPr>
            <w:tcW w:type="dxa" w:w="3216"/>
          </w:tcPr>
          <w:p>
            <w:r>
              <w:rPr>
                <w:sz w:val="17"/>
              </w:rPr>
              <w:t>Software, cloud</w:t>
            </w:r>
          </w:p>
        </w:tc>
        <w:tc>
          <w:tcPr>
            <w:tcW w:type="dxa" w:w="3216"/>
          </w:tcPr>
          <w:p>
            <w:r>
              <w:rPr>
                <w:sz w:val="17"/>
              </w:rPr>
              <w:t>See §5</w:t>
            </w:r>
          </w:p>
        </w:tc>
      </w:tr>
      <w:tr>
        <w:tc>
          <w:tcPr>
            <w:tcW w:type="dxa" w:w="3216"/>
          </w:tcPr>
          <w:p>
            <w:r>
              <w:rPr>
                <w:sz w:val="17"/>
              </w:rPr>
              <w:t>Knowledge transfer</w:t>
            </w:r>
          </w:p>
        </w:tc>
        <w:tc>
          <w:tcPr>
            <w:tcW w:type="dxa" w:w="3216"/>
          </w:tcPr>
          <w:p>
            <w:r>
              <w:rPr>
                <w:sz w:val="17"/>
              </w:rPr>
              <w:t>All</w:t>
            </w:r>
          </w:p>
        </w:tc>
        <w:tc>
          <w:tcPr>
            <w:tcW w:type="dxa" w:w="3216"/>
          </w:tcPr>
          <w:p>
            <w:r>
              <w:rPr>
                <w:sz w:val="17"/>
              </w:rPr>
              <w:t>A deliverable with named receivers and acceptance, not a by-product</w:t>
            </w:r>
          </w:p>
        </w:tc>
      </w:tr>
      <w:tr>
        <w:tc>
          <w:tcPr>
            <w:tcW w:type="dxa" w:w="3216"/>
          </w:tcPr>
          <w:p>
            <w:r>
              <w:rPr>
                <w:sz w:val="17"/>
              </w:rPr>
              <w:t>Termination and transition out</w:t>
            </w:r>
          </w:p>
        </w:tc>
        <w:tc>
          <w:tcPr>
            <w:tcW w:type="dxa" w:w="3216"/>
          </w:tcPr>
          <w:p>
            <w:r>
              <w:rPr>
                <w:sz w:val="17"/>
              </w:rPr>
              <w:t>All</w:t>
            </w:r>
          </w:p>
        </w:tc>
        <w:tc>
          <w:tcPr>
            <w:tcW w:type="dxa" w:w="3216"/>
          </w:tcPr>
          <w:p>
            <w:r>
              <w:rPr>
                <w:sz w:val="17"/>
              </w:rPr>
              <w:t>Notice period, transition assistance obligation, data return format</w:t>
            </w:r>
          </w:p>
        </w:tc>
      </w:tr>
      <w:tr>
        <w:tc>
          <w:tcPr>
            <w:tcW w:type="dxa" w:w="3216"/>
          </w:tcPr>
          <w:p>
            <w:r>
              <w:rPr>
                <w:sz w:val="17"/>
              </w:rPr>
              <w:t>Intellectual property and license scope</w:t>
            </w:r>
          </w:p>
        </w:tc>
        <w:tc>
          <w:tcPr>
            <w:tcW w:type="dxa" w:w="3216"/>
          </w:tcPr>
          <w:p>
            <w:r>
              <w:rPr>
                <w:sz w:val="17"/>
              </w:rPr>
              <w:t>Software</w:t>
            </w:r>
          </w:p>
        </w:tc>
        <w:tc>
          <w:tcPr>
            <w:tcW w:type="dxa" w:w="3216"/>
          </w:tcPr>
          <w:p>
            <w:r>
              <w:rPr>
                <w:sz w:val="17"/>
              </w:rPr>
              <w:t>⚠ Who owns configuration and custom rules built during the program</w:t>
            </w:r>
          </w:p>
        </w:tc>
      </w:tr>
      <w:tr>
        <w:tc>
          <w:tcPr>
            <w:tcW w:type="dxa" w:w="3216"/>
          </w:tcPr>
          <w:p>
            <w:r>
              <w:rPr>
                <w:sz w:val="17"/>
              </w:rPr>
              <w:t>Change control</w:t>
            </w:r>
          </w:p>
        </w:tc>
        <w:tc>
          <w:tcPr>
            <w:tcW w:type="dxa" w:w="3216"/>
          </w:tcPr>
          <w:p>
            <w:r>
              <w:rPr>
                <w:sz w:val="17"/>
              </w:rPr>
              <w:t>All</w:t>
            </w:r>
          </w:p>
        </w:tc>
        <w:tc>
          <w:tcPr>
            <w:tcW w:type="dxa" w:w="3216"/>
          </w:tcPr>
          <w:p>
            <w:r>
              <w:rPr>
                <w:sz w:val="17"/>
              </w:rPr>
              <w:t>Scope changes priced and approved before work, against the program's thresholds</w:t>
            </w:r>
          </w:p>
        </w:tc>
      </w:tr>
    </w:tbl>
    <w:p/>
    <w:p>
      <w:pPr>
        <w:spacing w:before="320"/>
      </w:pPr>
      <w:r>
        <w:rPr>
          <w:b/>
          <w:color w:val="12304A"/>
          <w:sz w:val="28"/>
        </w:rPr>
        <w:t>5. Warranty, Support and Version Obligations</w:t>
      </w:r>
    </w:p>
    <w:p>
      <w:r>
        <w:t>These apply wherever the program acquires software, hardware, or an external cloud service — the EMPI platform, the cloud platform, the managed service, and the transfer appliances.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Term</w:t>
            </w:r>
          </w:p>
        </w:tc>
        <w:tc>
          <w:tcPr>
            <w:tcW w:type="dxa" w:w="3216"/>
          </w:tcPr>
          <w:p>
            <w:r>
              <w:rPr>
                <w:b/>
                <w:sz w:val="17"/>
              </w:rPr>
              <w:t>What the SOW must specify</w:t>
            </w:r>
          </w:p>
        </w:tc>
      </w:tr>
      <w:tr>
        <w:tc>
          <w:tcPr>
            <w:tcW w:type="dxa" w:w="3216"/>
          </w:tcPr>
          <w:p>
            <w:r>
              <w:rPr>
                <w:sz w:val="17"/>
              </w:rPr>
              <w:t>SW-01</w:t>
            </w:r>
          </w:p>
        </w:tc>
        <w:tc>
          <w:tcPr>
            <w:tcW w:type="dxa" w:w="3216"/>
          </w:tcPr>
          <w:p>
            <w:r>
              <w:rPr>
                <w:sz w:val="17"/>
              </w:rPr>
              <w:t>Warranty period</w:t>
            </w:r>
          </w:p>
        </w:tc>
        <w:tc>
          <w:tcPr>
            <w:tcW w:type="dxa" w:w="3216"/>
          </w:tcPr>
          <w:p>
            <w:r>
              <w:rPr>
                <w:sz w:val="17"/>
              </w:rPr>
              <w:t>Duration from acceptance, and what it covers. ⚠ A warranty running from delivery rather than acceptance can expire before the product is in production use.</w:t>
            </w:r>
          </w:p>
        </w:tc>
      </w:tr>
      <w:tr>
        <w:tc>
          <w:tcPr>
            <w:tcW w:type="dxa" w:w="3216"/>
          </w:tcPr>
          <w:p>
            <w:r>
              <w:rPr>
                <w:sz w:val="17"/>
              </w:rPr>
              <w:t>SW-02</w:t>
            </w:r>
          </w:p>
        </w:tc>
        <w:tc>
          <w:tcPr>
            <w:tcW w:type="dxa" w:w="3216"/>
          </w:tcPr>
          <w:p>
            <w:r>
              <w:rPr>
                <w:sz w:val="17"/>
              </w:rPr>
              <w:t>Defect remediation service levels</w:t>
            </w:r>
          </w:p>
        </w:tc>
        <w:tc>
          <w:tcPr>
            <w:tcW w:type="dxa" w:w="3216"/>
          </w:tcPr>
          <w:p>
            <w:r>
              <w:rPr>
                <w:sz w:val="17"/>
              </w:rPr>
              <w:t>Response and resolution times by severity, using the program's severity definitions rather than the vendor's</w:t>
            </w:r>
          </w:p>
        </w:tc>
      </w:tr>
      <w:tr>
        <w:tc>
          <w:tcPr>
            <w:tcW w:type="dxa" w:w="3216"/>
          </w:tcPr>
          <w:p>
            <w:r>
              <w:rPr>
                <w:sz w:val="17"/>
              </w:rPr>
              <w:t>SW-03</w:t>
            </w:r>
          </w:p>
        </w:tc>
        <w:tc>
          <w:tcPr>
            <w:tcW w:type="dxa" w:w="3216"/>
          </w:tcPr>
          <w:p>
            <w:r>
              <w:rPr>
                <w:sz w:val="17"/>
              </w:rPr>
              <w:t>Support staffing</w:t>
            </w:r>
          </w:p>
        </w:tc>
        <w:tc>
          <w:tcPr>
            <w:tcW w:type="dxa" w:w="3216"/>
          </w:tcPr>
          <w:p>
            <w:r>
              <w:rPr>
                <w:sz w:val="17"/>
              </w:rPr>
              <w:t>Named support contacts, coverage hours, on-call obligation, and escalation path. ⚠ Coverage must extend to cutover weekends and hypercare.</w:t>
            </w:r>
          </w:p>
        </w:tc>
      </w:tr>
      <w:tr>
        <w:tc>
          <w:tcPr>
            <w:tcW w:type="dxa" w:w="3216"/>
          </w:tcPr>
          <w:p>
            <w:r>
              <w:rPr>
                <w:sz w:val="17"/>
              </w:rPr>
              <w:t>SW-04</w:t>
            </w:r>
          </w:p>
        </w:tc>
        <w:tc>
          <w:tcPr>
            <w:tcW w:type="dxa" w:w="3216"/>
          </w:tcPr>
          <w:p>
            <w:r>
              <w:rPr>
                <w:sz w:val="17"/>
              </w:rPr>
              <w:t>Version updates and patches</w:t>
            </w:r>
          </w:p>
        </w:tc>
        <w:tc>
          <w:tcPr>
            <w:tcW w:type="dxa" w:w="3216"/>
          </w:tcPr>
          <w:p>
            <w:r>
              <w:rPr>
                <w:sz w:val="17"/>
              </w:rPr>
              <w:t>Who applies them, in what window, and who tests. Security patches on a defined clock separate from feature releases.</w:t>
            </w:r>
          </w:p>
        </w:tc>
      </w:tr>
      <w:tr>
        <w:tc>
          <w:tcPr>
            <w:tcW w:type="dxa" w:w="3216"/>
          </w:tcPr>
          <w:p>
            <w:r>
              <w:rPr>
                <w:sz w:val="17"/>
              </w:rPr>
              <w:t>SW-05</w:t>
            </w:r>
          </w:p>
        </w:tc>
        <w:tc>
          <w:tcPr>
            <w:tcW w:type="dxa" w:w="3216"/>
          </w:tcPr>
          <w:p>
            <w:r>
              <w:rPr>
                <w:sz w:val="17"/>
              </w:rPr>
              <w:t>Backward compatibility and interface stability</w:t>
            </w:r>
          </w:p>
        </w:tc>
        <w:tc>
          <w:tcPr>
            <w:tcW w:type="dxa" w:w="3216"/>
          </w:tcPr>
          <w:p>
            <w:r>
              <w:rPr>
                <w:sz w:val="17"/>
              </w:rPr>
              <w:t>⚠ Notice period before a change that breaks an existing interface, and who pays for the remediation</w:t>
            </w:r>
          </w:p>
        </w:tc>
      </w:tr>
      <w:tr>
        <w:tc>
          <w:tcPr>
            <w:tcW w:type="dxa" w:w="3216"/>
          </w:tcPr>
          <w:p>
            <w:r>
              <w:rPr>
                <w:sz w:val="17"/>
              </w:rPr>
              <w:t>SW-06</w:t>
            </w:r>
          </w:p>
        </w:tc>
        <w:tc>
          <w:tcPr>
            <w:tcW w:type="dxa" w:w="3216"/>
          </w:tcPr>
          <w:p>
            <w:r>
              <w:rPr>
                <w:sz w:val="17"/>
              </w:rPr>
              <w:t>End-of-life and end-of-support notice</w:t>
            </w:r>
          </w:p>
        </w:tc>
        <w:tc>
          <w:tcPr>
            <w:tcW w:type="dxa" w:w="3216"/>
          </w:tcPr>
          <w:p>
            <w:r>
              <w:rPr>
                <w:sz w:val="17"/>
              </w:rPr>
              <w:t>Minimum notice before a version leaves support, and the obligation to provide a migration path</w:t>
            </w:r>
          </w:p>
        </w:tc>
      </w:tr>
      <w:tr>
        <w:tc>
          <w:tcPr>
            <w:tcW w:type="dxa" w:w="3216"/>
          </w:tcPr>
          <w:p>
            <w:r>
              <w:rPr>
                <w:sz w:val="17"/>
              </w:rPr>
              <w:t>SW-07</w:t>
            </w:r>
          </w:p>
        </w:tc>
        <w:tc>
          <w:tcPr>
            <w:tcW w:type="dxa" w:w="3216"/>
          </w:tcPr>
          <w:p>
            <w:r>
              <w:rPr>
                <w:sz w:val="17"/>
              </w:rPr>
              <w:t>Escrow or continuity</w:t>
            </w:r>
          </w:p>
        </w:tc>
        <w:tc>
          <w:tcPr>
            <w:tcW w:type="dxa" w:w="3216"/>
          </w:tcPr>
          <w:p>
            <w:r>
              <w:rPr>
                <w:sz w:val="17"/>
              </w:rPr>
              <w:t>For any product where a vendor failure would stop operations</w:t>
            </w:r>
          </w:p>
        </w:tc>
      </w:tr>
      <w:tr>
        <w:tc>
          <w:tcPr>
            <w:tcW w:type="dxa" w:w="3216"/>
          </w:tcPr>
          <w:p>
            <w:r>
              <w:rPr>
                <w:sz w:val="17"/>
              </w:rPr>
              <w:t>SW-08</w:t>
            </w:r>
          </w:p>
        </w:tc>
        <w:tc>
          <w:tcPr>
            <w:tcW w:type="dxa" w:w="3216"/>
          </w:tcPr>
          <w:p>
            <w:r>
              <w:rPr>
                <w:sz w:val="17"/>
              </w:rPr>
              <w:t>Environment coverage</w:t>
            </w:r>
          </w:p>
        </w:tc>
        <w:tc>
          <w:tcPr>
            <w:tcW w:type="dxa" w:w="3216"/>
          </w:tcPr>
          <w:p>
            <w:r>
              <w:rPr>
                <w:sz w:val="17"/>
              </w:rPr>
              <w:t>Whether support covers non-production. ⚠ A test environment nobody will fix stops testing.</w:t>
            </w:r>
          </w:p>
        </w:tc>
      </w:tr>
    </w:tbl>
    <w:p/>
    <w:p>
      <w:pPr>
        <w:spacing w:before="120"/>
        <w:ind w:left="360"/>
      </w:pPr>
      <w:r>
        <w:rPr>
          <w:i/>
          <w:color w:val="12304A"/>
          <w:sz w:val="20"/>
        </w:rPr>
        <w:t>SW-04 and SW-05 together decide whether the program owns a system or a liability, and they are almost never argued about at signature. The failure is specific and recurring: the vendor releases a version, the release is mandatory because the previous one leaves support, the new version changes a field the integration layer depends on, and the remediation cost lands on the buyer — who is now doing unplanned work under the original schedule. The clause that prevents it is not a warranty. It is a notice period plus a stated allocation of remediation cost, agreed while the vendor still wants the business.</w:t>
      </w:r>
    </w:p>
    <w:p>
      <w:pPr>
        <w:spacing w:before="120"/>
        <w:ind w:left="360"/>
      </w:pPr>
      <w:r>
        <w:rPr>
          <w:i/>
          <w:color w:val="12304A"/>
          <w:sz w:val="20"/>
        </w:rPr>
        <w:t>SW-03 is the clause that gets traded away on price, and the one whose absence surfaces at the worst possible hour. Support "during business hours" is a perfectly reasonable term that is worth nothing during a cutover weekend, which is when a platform is most likely to behave unexpectedly and least likely to be recoverable by the buyer alone. The obligation has to name the coverage window against the program's calendar, not the vendor's standard one — and it costs materially less to buy in the SOW than to buy at midnight on the night it is needed.</w:t>
      </w:r>
    </w:p>
    <w:p>
      <w:pPr>
        <w:spacing w:before="320"/>
      </w:pPr>
      <w:r>
        <w:rPr>
          <w:b/>
          <w:color w:val="12304A"/>
          <w:sz w:val="28"/>
        </w:rPr>
        <w:t>6. Individual Statements of Work</w:t>
      </w:r>
    </w:p>
    <w:p>
      <w:r>
        <w:t>Each engaged vendor has its own instrument. These are the representative SOWs behind the register in §2 — scope, vehicle, term and the §4 and §5 clauses that apply to each.</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Statement of work</w:t>
            </w:r>
          </w:p>
        </w:tc>
        <w:tc>
          <w:tcPr>
            <w:tcW w:type="dxa" w:w="2412"/>
          </w:tcPr>
          <w:p>
            <w:r>
              <w:rPr>
                <w:b/>
                <w:sz w:val="17"/>
              </w:rPr>
              <w:t>Vehicle</w:t>
            </w:r>
          </w:p>
        </w:tc>
        <w:tc>
          <w:tcPr>
            <w:tcW w:type="dxa" w:w="2412"/>
          </w:tcPr>
          <w:p>
            <w:r>
              <w:rPr>
                <w:b/>
                <w:sz w:val="17"/>
              </w:rPr>
              <w:t>§5 terms that apply</w:t>
            </w:r>
          </w:p>
        </w:tc>
      </w:tr>
      <w:tr>
        <w:tc>
          <w:tcPr>
            <w:tcW w:type="dxa" w:w="2412"/>
          </w:tcPr>
          <w:p>
            <w:r>
              <w:rPr>
                <w:sz w:val="17"/>
              </w:rPr>
              <w:t>VN-01</w:t>
            </w:r>
          </w:p>
        </w:tc>
        <w:tc>
          <w:tcPr>
            <w:tcW w:type="dxa" w:w="2412"/>
          </w:tcPr>
          <w:p>
            <w:r>
              <w:rPr>
                <w:sz w:val="17"/>
              </w:rPr>
              <w:t>Arrington — program management and specialist advisory</w:t>
            </w:r>
          </w:p>
        </w:tc>
        <w:tc>
          <w:tcPr>
            <w:tcW w:type="dxa" w:w="2412"/>
          </w:tcPr>
          <w:p>
            <w:r>
              <w:rPr>
                <w:sz w:val="17"/>
              </w:rPr>
              <w:t>Deliverable</w:t>
            </w:r>
          </w:p>
        </w:tc>
        <w:tc>
          <w:tcPr>
            <w:tcW w:type="dxa" w:w="2412"/>
          </w:tcPr>
          <w:p>
            <w:r>
              <w:rPr>
                <w:sz w:val="17"/>
              </w:rPr>
              <w:t>Not applicable — services only. Knowledge transfer and key personnel apply.</w:t>
            </w:r>
          </w:p>
        </w:tc>
      </w:tr>
      <w:tr>
        <w:tc>
          <w:tcPr>
            <w:tcW w:type="dxa" w:w="2412"/>
          </w:tcPr>
          <w:p>
            <w:r>
              <w:rPr>
                <w:sz w:val="17"/>
              </w:rPr>
              <w:t>VN-02</w:t>
            </w:r>
          </w:p>
        </w:tc>
        <w:tc>
          <w:tcPr>
            <w:tcW w:type="dxa" w:w="2412"/>
          </w:tcPr>
          <w:p>
            <w:r>
              <w:rPr>
                <w:sz w:val="17"/>
              </w:rPr>
              <w:t>Rutherford — co-managed cloud operations</w:t>
            </w:r>
          </w:p>
        </w:tc>
        <w:tc>
          <w:tcPr>
            <w:tcW w:type="dxa" w:w="2412"/>
          </w:tcPr>
          <w:p>
            <w:r>
              <w:rPr>
                <w:sz w:val="17"/>
              </w:rPr>
              <w:t>Fixed price + T&amp;M</w:t>
            </w:r>
          </w:p>
        </w:tc>
        <w:tc>
          <w:tcPr>
            <w:tcW w:type="dxa" w:w="2412"/>
          </w:tcPr>
          <w:p>
            <w:r>
              <w:rPr>
                <w:sz w:val="17"/>
              </w:rPr>
              <w:t>⚠ SW-02, SW-03, SW-04, SW-08. Step-down milestones are acceptance-gated.</w:t>
            </w:r>
          </w:p>
        </w:tc>
      </w:tr>
      <w:tr>
        <w:tc>
          <w:tcPr>
            <w:tcW w:type="dxa" w:w="2412"/>
          </w:tcPr>
          <w:p>
            <w:r>
              <w:rPr>
                <w:sz w:val="17"/>
              </w:rPr>
              <w:t>VN-03</w:t>
            </w:r>
          </w:p>
        </w:tc>
        <w:tc>
          <w:tcPr>
            <w:tcW w:type="dxa" w:w="2412"/>
          </w:tcPr>
          <w:p>
            <w:r>
              <w:rPr>
                <w:sz w:val="17"/>
              </w:rPr>
              <w:t>Gallatin — X12 transaction assurance</w:t>
            </w:r>
          </w:p>
        </w:tc>
        <w:tc>
          <w:tcPr>
            <w:tcW w:type="dxa" w:w="2412"/>
          </w:tcPr>
          <w:p>
            <w:r>
              <w:rPr>
                <w:sz w:val="17"/>
              </w:rPr>
              <w:t>Fixed price</w:t>
            </w:r>
          </w:p>
        </w:tc>
        <w:tc>
          <w:tcPr>
            <w:tcW w:type="dxa" w:w="2412"/>
          </w:tcPr>
          <w:p>
            <w:r>
              <w:rPr>
                <w:sz w:val="17"/>
              </w:rPr>
              <w:t>SW-02 for tooling defects. Test environment coverage under SW-08.</w:t>
            </w:r>
          </w:p>
        </w:tc>
      </w:tr>
      <w:tr>
        <w:tc>
          <w:tcPr>
            <w:tcW w:type="dxa" w:w="2412"/>
          </w:tcPr>
          <w:p>
            <w:r>
              <w:rPr>
                <w:sz w:val="17"/>
              </w:rPr>
              <w:t>VN-04</w:t>
            </w:r>
          </w:p>
        </w:tc>
        <w:tc>
          <w:tcPr>
            <w:tcW w:type="dxa" w:w="2412"/>
          </w:tcPr>
          <w:p>
            <w:r>
              <w:rPr>
                <w:sz w:val="17"/>
              </w:rPr>
              <w:t>Two Rivers — data steward staff augmentation</w:t>
            </w:r>
          </w:p>
        </w:tc>
        <w:tc>
          <w:tcPr>
            <w:tcW w:type="dxa" w:w="2412"/>
          </w:tcPr>
          <w:p>
            <w:r>
              <w:rPr>
                <w:sz w:val="17"/>
              </w:rPr>
              <w:t>Staff aug</w:t>
            </w:r>
          </w:p>
        </w:tc>
        <w:tc>
          <w:tcPr>
            <w:tcW w:type="dxa" w:w="2412"/>
          </w:tcPr>
          <w:p>
            <w:r>
              <w:rPr>
                <w:sz w:val="17"/>
              </w:rPr>
              <w:t>Not applicable. ⚠ Co-employment guardrails and substitution terms apply instead.</w:t>
            </w:r>
          </w:p>
        </w:tc>
      </w:tr>
      <w:tr>
        <w:tc>
          <w:tcPr>
            <w:tcW w:type="dxa" w:w="2412"/>
          </w:tcPr>
          <w:p>
            <w:r>
              <w:rPr>
                <w:sz w:val="17"/>
              </w:rPr>
              <w:t>VN-05</w:t>
            </w:r>
          </w:p>
        </w:tc>
        <w:tc>
          <w:tcPr>
            <w:tcW w:type="dxa" w:w="2412"/>
          </w:tcPr>
          <w:p>
            <w:r>
              <w:rPr>
                <w:sz w:val="17"/>
              </w:rPr>
              <w:t>Harpeth — clean team services</w:t>
            </w:r>
          </w:p>
        </w:tc>
        <w:tc>
          <w:tcPr>
            <w:tcW w:type="dxa" w:w="2412"/>
          </w:tcPr>
          <w:p>
            <w:r>
              <w:rPr>
                <w:sz w:val="17"/>
              </w:rPr>
              <w:t>Fixed price</w:t>
            </w:r>
          </w:p>
        </w:tc>
        <w:tc>
          <w:tcPr>
            <w:tcW w:type="dxa" w:w="2412"/>
          </w:tcPr>
          <w:p>
            <w:r>
              <w:rPr>
                <w:sz w:val="17"/>
              </w:rPr>
              <w:t>Not applicable. Terminates at closing; output scope defined by protocol.</w:t>
            </w:r>
          </w:p>
        </w:tc>
      </w:tr>
      <w:tr>
        <w:tc>
          <w:tcPr>
            <w:tcW w:type="dxa" w:w="2412"/>
          </w:tcPr>
          <w:p>
            <w:r>
              <w:rPr>
                <w:sz w:val="17"/>
              </w:rPr>
              <w:t>VN-06</w:t>
            </w:r>
          </w:p>
        </w:tc>
        <w:tc>
          <w:tcPr>
            <w:tcW w:type="dxa" w:w="2412"/>
          </w:tcPr>
          <w:p>
            <w:r>
              <w:rPr>
                <w:sz w:val="17"/>
              </w:rPr>
              <w:t>EMPI platform — license, implementation and support</w:t>
            </w:r>
          </w:p>
        </w:tc>
        <w:tc>
          <w:tcPr>
            <w:tcW w:type="dxa" w:w="2412"/>
          </w:tcPr>
          <w:p>
            <w:r>
              <w:rPr>
                <w:sz w:val="17"/>
              </w:rPr>
              <w:t>License + support</w:t>
            </w:r>
          </w:p>
        </w:tc>
        <w:tc>
          <w:tcPr>
            <w:tcW w:type="dxa" w:w="2412"/>
          </w:tcPr>
          <w:p>
            <w:r>
              <w:rPr>
                <w:sz w:val="17"/>
              </w:rPr>
              <w:t>All of SW-01 to SW-08. ⚠ Configuration and match-rule IP explicitly ACME's.</w:t>
            </w:r>
          </w:p>
        </w:tc>
      </w:tr>
      <w:tr>
        <w:tc>
          <w:tcPr>
            <w:tcW w:type="dxa" w:w="2412"/>
          </w:tcPr>
          <w:p>
            <w:r>
              <w:rPr>
                <w:sz w:val="17"/>
              </w:rPr>
              <w:t>VN-07</w:t>
            </w:r>
          </w:p>
        </w:tc>
        <w:tc>
          <w:tcPr>
            <w:tcW w:type="dxa" w:w="2412"/>
          </w:tcPr>
          <w:p>
            <w:r>
              <w:rPr>
                <w:sz w:val="17"/>
              </w:rPr>
              <w:t>Azure — cloud platform consumption</w:t>
            </w:r>
          </w:p>
        </w:tc>
        <w:tc>
          <w:tcPr>
            <w:tcW w:type="dxa" w:w="2412"/>
          </w:tcPr>
          <w:p>
            <w:r>
              <w:rPr>
                <w:sz w:val="17"/>
              </w:rPr>
              <w:t>Consumption</w:t>
            </w:r>
          </w:p>
        </w:tc>
        <w:tc>
          <w:tcPr>
            <w:tcW w:type="dxa" w:w="2412"/>
          </w:tcPr>
          <w:p>
            <w:r>
              <w:rPr>
                <w:sz w:val="17"/>
              </w:rPr>
              <w:t>SW-04, SW-05, SW-06 through platform terms. BAA executed.</w:t>
            </w:r>
          </w:p>
        </w:tc>
      </w:tr>
      <w:tr>
        <w:tc>
          <w:tcPr>
            <w:tcW w:type="dxa" w:w="2412"/>
          </w:tcPr>
          <w:p>
            <w:r>
              <w:rPr>
                <w:sz w:val="17"/>
              </w:rPr>
              <w:t>VN-08</w:t>
            </w:r>
          </w:p>
        </w:tc>
        <w:tc>
          <w:tcPr>
            <w:tcW w:type="dxa" w:w="2412"/>
          </w:tcPr>
          <w:p>
            <w:r>
              <w:rPr>
                <w:sz w:val="17"/>
              </w:rPr>
              <w:t>Transfer appliance service</w:t>
            </w:r>
          </w:p>
        </w:tc>
        <w:tc>
          <w:tcPr>
            <w:tcW w:type="dxa" w:w="2412"/>
          </w:tcPr>
          <w:p>
            <w:r>
              <w:rPr>
                <w:sz w:val="17"/>
              </w:rPr>
              <w:t>Fixed price</w:t>
            </w:r>
          </w:p>
        </w:tc>
        <w:tc>
          <w:tcPr>
            <w:tcW w:type="dxa" w:w="2412"/>
          </w:tcPr>
          <w:p>
            <w:r>
              <w:rPr>
                <w:sz w:val="17"/>
              </w:rPr>
              <w:t>SW-01, SW-03. Chain of custody and certified destruction.</w:t>
            </w:r>
          </w:p>
        </w:tc>
      </w:tr>
    </w:tbl>
    <w:p/>
    <w:p>
      <w:pPr>
        <w:spacing w:before="120"/>
        <w:ind w:left="360"/>
      </w:pPr>
      <w:r>
        <w:rPr>
          <w:i/>
          <w:color w:val="12304A"/>
          <w:sz w:val="20"/>
        </w:rPr>
        <w:t>VN-06 is the one to read closely, because it is the only instrument on this program where a vendor's product decisions can invalidate work the program has already accepted. The match rules and survivorship configuration are built inside the vendor's platform over months, tuned against this specific member population, and they are the thing identity resolution actually consists of. If the license terms leave that configuration ambiguous, the program has spent its largest work package building an asset it may not own — and a future platform change becomes a negotiation rather than a migration.</w:t>
      </w:r>
    </w:p>
    <w:p>
      <w:pPr>
        <w:spacing w:before="320"/>
      </w:pPr>
      <w:r>
        <w:rPr>
          <w:b/>
          <w:color w:val="12304A"/>
          <w:sz w:val="28"/>
        </w:rPr>
        <w:t>7. Performance Management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Vendor</w:t>
            </w:r>
          </w:p>
        </w:tc>
        <w:tc>
          <w:tcPr>
            <w:tcW w:type="dxa" w:w="3216"/>
          </w:tcPr>
          <w:p>
            <w:r>
              <w:rPr>
                <w:b/>
                <w:sz w:val="17"/>
              </w:rPr>
              <w:t>Measured on</w:t>
            </w:r>
          </w:p>
        </w:tc>
        <w:tc>
          <w:tcPr>
            <w:tcW w:type="dxa" w:w="3216"/>
          </w:tcPr>
          <w:p>
            <w:r>
              <w:rPr>
                <w:b/>
                <w:sz w:val="17"/>
              </w:rPr>
              <w:t>Cadence</w:t>
            </w:r>
          </w:p>
        </w:tc>
      </w:tr>
      <w:tr>
        <w:tc>
          <w:tcPr>
            <w:tcW w:type="dxa" w:w="3216"/>
          </w:tcPr>
          <w:p>
            <w:r>
              <w:rPr>
                <w:sz w:val="17"/>
              </w:rPr>
              <w:t>Rutherford Cloud Operations</w:t>
            </w:r>
          </w:p>
        </w:tc>
        <w:tc>
          <w:tcPr>
            <w:tcW w:type="dxa" w:w="3216"/>
          </w:tcPr>
          <w:p>
            <w:r>
              <w:rPr>
                <w:sz w:val="17"/>
              </w:rPr>
              <w:t>Step-down milestones evidenced, incident response, access discipline</w:t>
            </w:r>
          </w:p>
        </w:tc>
        <w:tc>
          <w:tcPr>
            <w:tcW w:type="dxa" w:w="3216"/>
          </w:tcPr>
          <w:p>
            <w:r>
              <w:rPr>
                <w:sz w:val="17"/>
              </w:rPr>
              <w:t>Check-in every 3 weeks; written status weekly</w:t>
            </w:r>
          </w:p>
        </w:tc>
      </w:tr>
      <w:tr>
        <w:tc>
          <w:tcPr>
            <w:tcW w:type="dxa" w:w="3216"/>
          </w:tcPr>
          <w:p>
            <w:r>
              <w:rPr>
                <w:sz w:val="17"/>
              </w:rPr>
              <w:t>Two Rivers Talent Partners</w:t>
            </w:r>
          </w:p>
        </w:tc>
        <w:tc>
          <w:tcPr>
            <w:tcW w:type="dxa" w:w="3216"/>
          </w:tcPr>
          <w:p>
            <w:r>
              <w:rPr>
                <w:sz w:val="17"/>
              </w:rPr>
              <w:t>⚠ Steward retention and time-to-productive, not hours billed</w:t>
            </w:r>
          </w:p>
        </w:tc>
        <w:tc>
          <w:tcPr>
            <w:tcW w:type="dxa" w:w="3216"/>
          </w:tcPr>
          <w:p>
            <w:r>
              <w:rPr>
                <w:sz w:val="17"/>
              </w:rPr>
              <w:t>Check-in every 3 weeks; written status weekly</w:t>
            </w:r>
          </w:p>
        </w:tc>
      </w:tr>
      <w:tr>
        <w:tc>
          <w:tcPr>
            <w:tcW w:type="dxa" w:w="3216"/>
          </w:tcPr>
          <w:p>
            <w:r>
              <w:rPr>
                <w:sz w:val="17"/>
              </w:rPr>
              <w:t>Gallatin EDI Assurance</w:t>
            </w:r>
          </w:p>
        </w:tc>
        <w:tc>
          <w:tcPr>
            <w:tcW w:type="dxa" w:w="3216"/>
          </w:tcPr>
          <w:p>
            <w:r>
              <w:rPr>
                <w:sz w:val="17"/>
              </w:rPr>
              <w:t>Transaction coverage, defect detection rate, aging</w:t>
            </w:r>
          </w:p>
        </w:tc>
        <w:tc>
          <w:tcPr>
            <w:tcW w:type="dxa" w:w="3216"/>
          </w:tcPr>
          <w:p>
            <w:r>
              <w:rPr>
                <w:sz w:val="17"/>
              </w:rPr>
              <w:t>Monthly check-in; written status weekly</w:t>
            </w:r>
          </w:p>
        </w:tc>
      </w:tr>
      <w:tr>
        <w:tc>
          <w:tcPr>
            <w:tcW w:type="dxa" w:w="3216"/>
          </w:tcPr>
          <w:p>
            <w:r>
              <w:rPr>
                <w:sz w:val="17"/>
              </w:rPr>
              <w:t>Madison Data Systems</w:t>
            </w:r>
          </w:p>
        </w:tc>
        <w:tc>
          <w:tcPr>
            <w:tcW w:type="dxa" w:w="3216"/>
          </w:tcPr>
          <w:p>
            <w:r>
              <w:rPr>
                <w:sz w:val="17"/>
              </w:rPr>
              <w:t>Support response against SW-02, patch currency</w:t>
            </w:r>
          </w:p>
        </w:tc>
        <w:tc>
          <w:tcPr>
            <w:tcW w:type="dxa" w:w="3216"/>
          </w:tcPr>
          <w:p>
            <w:r>
              <w:rPr>
                <w:sz w:val="17"/>
              </w:rPr>
              <w:t>Monthly</w:t>
            </w:r>
          </w:p>
        </w:tc>
      </w:tr>
      <w:tr>
        <w:tc>
          <w:tcPr>
            <w:tcW w:type="dxa" w:w="3216"/>
          </w:tcPr>
          <w:p>
            <w:r>
              <w:rPr>
                <w:sz w:val="17"/>
              </w:rPr>
              <w:t>Arrington Advisory Group</w:t>
            </w:r>
          </w:p>
        </w:tc>
        <w:tc>
          <w:tcPr>
            <w:tcW w:type="dxa" w:w="3216"/>
          </w:tcPr>
          <w:p>
            <w:r>
              <w:rPr>
                <w:sz w:val="17"/>
              </w:rPr>
              <w:t>Deliverable acceptance on first submission</w:t>
            </w:r>
          </w:p>
        </w:tc>
        <w:tc>
          <w:tcPr>
            <w:tcW w:type="dxa" w:w="3216"/>
          </w:tcPr>
          <w:p>
            <w:r>
              <w:rPr>
                <w:sz w:val="17"/>
              </w:rPr>
              <w:t>Continuous; formal review at each gate</w:t>
            </w:r>
          </w:p>
        </w:tc>
      </w:tr>
    </w:tbl>
    <w:p/>
    <w:p>
      <w:pPr>
        <w:spacing w:before="120"/>
        <w:ind w:left="360"/>
      </w:pPr>
      <w:r>
        <w:rPr>
          <w:i/>
          <w:color w:val="12304A"/>
          <w:sz w:val="20"/>
        </w:rPr>
        <w:t>The Two Rivers measure is deliberately not hours delivered, and the distinction is the whole point of measuring anything. A staffing vendor paid for hours and measured on hours has every incentive aligned with churn: a replacement steward bills from day one and produces reviewed records some weeks later. Measuring time-to-productive and retention makes the vendor carry the cost of turnover that they are best placed to prevent — and it converts a metric nobody argues about into one that changes behavior.</w:t>
      </w:r>
    </w:p>
    <w:p>
      <w:pPr>
        <w:spacing w:before="320"/>
      </w:pPr>
      <w:r>
        <w:rPr>
          <w:b/>
          <w:color w:val="12304A"/>
          <w:sz w:val="28"/>
        </w:rPr>
        <w:t>8. Escalation and Remedy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Level</w:t>
            </w:r>
          </w:p>
        </w:tc>
        <w:tc>
          <w:tcPr>
            <w:tcW w:type="dxa" w:w="2412"/>
          </w:tcPr>
          <w:p>
            <w:r>
              <w:rPr>
                <w:b/>
                <w:sz w:val="17"/>
              </w:rPr>
              <w:t>Trigger</w:t>
            </w:r>
          </w:p>
        </w:tc>
        <w:tc>
          <w:tcPr>
            <w:tcW w:type="dxa" w:w="2412"/>
          </w:tcPr>
          <w:p>
            <w:r>
              <w:rPr>
                <w:b/>
                <w:sz w:val="17"/>
              </w:rPr>
              <w:t>Owner</w:t>
            </w:r>
          </w:p>
        </w:tc>
        <w:tc>
          <w:tcPr>
            <w:tcW w:type="dxa" w:w="2412"/>
          </w:tcPr>
          <w:p>
            <w:r>
              <w:rPr>
                <w:b/>
                <w:sz w:val="17"/>
              </w:rPr>
              <w:t>Action</w:t>
            </w:r>
          </w:p>
        </w:tc>
      </w:tr>
      <w:tr>
        <w:tc>
          <w:tcPr>
            <w:tcW w:type="dxa" w:w="2412"/>
          </w:tcPr>
          <w:p>
            <w:r>
              <w:rPr>
                <w:sz w:val="17"/>
              </w:rPr>
              <w:t>1</w:t>
            </w:r>
          </w:p>
        </w:tc>
        <w:tc>
          <w:tcPr>
            <w:tcW w:type="dxa" w:w="2412"/>
          </w:tcPr>
          <w:p>
            <w:r>
              <w:rPr>
                <w:sz w:val="17"/>
              </w:rPr>
              <w:t>Missed deliverable or service level</w:t>
            </w:r>
          </w:p>
        </w:tc>
        <w:tc>
          <w:tcPr>
            <w:tcW w:type="dxa" w:w="2412"/>
          </w:tcPr>
          <w:p>
            <w:r>
              <w:rPr>
                <w:sz w:val="17"/>
              </w:rPr>
              <w:t>ACME vendor owner</w:t>
            </w:r>
          </w:p>
        </w:tc>
        <w:tc>
          <w:tcPr>
            <w:tcW w:type="dxa" w:w="2412"/>
          </w:tcPr>
          <w:p>
            <w:r>
              <w:rPr>
                <w:sz w:val="17"/>
              </w:rPr>
              <w:t>Raised at the next check-in with a recovery date</w:t>
            </w:r>
          </w:p>
        </w:tc>
      </w:tr>
      <w:tr>
        <w:tc>
          <w:tcPr>
            <w:tcW w:type="dxa" w:w="2412"/>
          </w:tcPr>
          <w:p>
            <w:r>
              <w:rPr>
                <w:sz w:val="17"/>
              </w:rPr>
              <w:t>2</w:t>
            </w:r>
          </w:p>
        </w:tc>
        <w:tc>
          <w:tcPr>
            <w:tcW w:type="dxa" w:w="2412"/>
          </w:tcPr>
          <w:p>
            <w:r>
              <w:rPr>
                <w:sz w:val="17"/>
              </w:rPr>
              <w:t>Repeat miss, or a recovery date missed</w:t>
            </w:r>
          </w:p>
        </w:tc>
        <w:tc>
          <w:tcPr>
            <w:tcW w:type="dxa" w:w="2412"/>
          </w:tcPr>
          <w:p>
            <w:r>
              <w:rPr>
                <w:sz w:val="17"/>
              </w:rPr>
              <w:t>C. Tyrrell</w:t>
            </w:r>
          </w:p>
        </w:tc>
        <w:tc>
          <w:tcPr>
            <w:tcW w:type="dxa" w:w="2412"/>
          </w:tcPr>
          <w:p>
            <w:r>
              <w:rPr>
                <w:sz w:val="17"/>
              </w:rPr>
              <w:t>Written notice; remediation plan required within five business days</w:t>
            </w:r>
          </w:p>
        </w:tc>
      </w:tr>
      <w:tr>
        <w:tc>
          <w:tcPr>
            <w:tcW w:type="dxa" w:w="2412"/>
          </w:tcPr>
          <w:p>
            <w:r>
              <w:rPr>
                <w:sz w:val="17"/>
              </w:rPr>
              <w:t>3</w:t>
            </w:r>
          </w:p>
        </w:tc>
        <w:tc>
          <w:tcPr>
            <w:tcW w:type="dxa" w:w="2412"/>
          </w:tcPr>
          <w:p>
            <w:r>
              <w:rPr>
                <w:sz w:val="17"/>
              </w:rPr>
              <w:t>Remediation plan fails</w:t>
            </w:r>
          </w:p>
        </w:tc>
        <w:tc>
          <w:tcPr>
            <w:tcW w:type="dxa" w:w="2412"/>
          </w:tcPr>
          <w:p>
            <w:r>
              <w:rPr>
                <w:sz w:val="17"/>
              </w:rPr>
              <w:t>H. Castellow</w:t>
            </w:r>
          </w:p>
        </w:tc>
        <w:tc>
          <w:tcPr>
            <w:tcW w:type="dxa" w:w="2412"/>
          </w:tcPr>
          <w:p>
            <w:r>
              <w:rPr>
                <w:sz w:val="17"/>
              </w:rPr>
              <w:t>Contractual remedy invoked — service credits, withheld payment, or step-in</w:t>
            </w:r>
          </w:p>
        </w:tc>
      </w:tr>
      <w:tr>
        <w:tc>
          <w:tcPr>
            <w:tcW w:type="dxa" w:w="2412"/>
          </w:tcPr>
          <w:p>
            <w:r>
              <w:rPr>
                <w:sz w:val="17"/>
              </w:rPr>
              <w:t>4</w:t>
            </w:r>
          </w:p>
        </w:tc>
        <w:tc>
          <w:tcPr>
            <w:tcW w:type="dxa" w:w="2412"/>
          </w:tcPr>
          <w:p>
            <w:r>
              <w:rPr>
                <w:sz w:val="17"/>
              </w:rPr>
              <w:t>Material breach</w:t>
            </w:r>
          </w:p>
        </w:tc>
        <w:tc>
          <w:tcPr>
            <w:tcW w:type="dxa" w:w="2412"/>
          </w:tcPr>
          <w:p>
            <w:r>
              <w:rPr>
                <w:sz w:val="17"/>
              </w:rPr>
              <w:t>D. Ashmore + Legal</w:t>
            </w:r>
          </w:p>
        </w:tc>
        <w:tc>
          <w:tcPr>
            <w:tcW w:type="dxa" w:w="2412"/>
          </w:tcPr>
          <w:p>
            <w:r>
              <w:rPr>
                <w:sz w:val="17"/>
              </w:rPr>
              <w:t>⚠ Termination assessed against transition risk, not against frustration</w:t>
            </w:r>
          </w:p>
        </w:tc>
      </w:tr>
    </w:tbl>
    <w:p/>
    <w:p>
      <w:pPr>
        <w:spacing w:before="120"/>
        <w:ind w:left="360"/>
      </w:pPr>
      <w:r>
        <w:rPr>
          <w:i/>
          <w:color w:val="12304A"/>
          <w:sz w:val="20"/>
        </w:rPr>
        <w:t>Level 4 carries a warning because terminating a vendor mid-program is frequently the more damaging option and rarely feels like it at the time. The question is not whether the vendor deserves it. It is whether the program can absorb the transition — re-procurement, onboarding, knowledge loss — inside a schedule with a contractual wall at the end of it. Leverage over a vendor is set by how long you still need them, and on a program with a fixed exit date that leverage runs out well before the anger does.</w:t>
      </w:r>
    </w:p>
    <w:p>
      <w:pPr>
        <w:spacing w:before="320"/>
      </w:pPr>
      <w:r>
        <w:rPr>
          <w:b/>
          <w:color w:val="12304A"/>
          <w:sz w:val="28"/>
        </w:rPr>
        <w:t>9. Transition Out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Requirement</w:t>
            </w:r>
          </w:p>
        </w:tc>
        <w:tc>
          <w:tcPr>
            <w:tcW w:type="dxa" w:w="4824"/>
          </w:tcPr>
          <w:p>
            <w:r>
              <w:rPr>
                <w:b/>
                <w:sz w:val="17"/>
              </w:rPr>
              <w:t>Standard</w:t>
            </w:r>
          </w:p>
        </w:tc>
      </w:tr>
      <w:tr>
        <w:tc>
          <w:tcPr>
            <w:tcW w:type="dxa" w:w="4824"/>
          </w:tcPr>
          <w:p>
            <w:r>
              <w:rPr>
                <w:sz w:val="17"/>
              </w:rPr>
              <w:t>Transition assistance</w:t>
            </w:r>
          </w:p>
        </w:tc>
        <w:tc>
          <w:tcPr>
            <w:tcW w:type="dxa" w:w="4824"/>
          </w:tcPr>
          <w:p>
            <w:r>
              <w:rPr>
                <w:sz w:val="17"/>
              </w:rPr>
              <w:t>Contracted obligation with a defined period, not goodwill</w:t>
            </w:r>
          </w:p>
        </w:tc>
      </w:tr>
      <w:tr>
        <w:tc>
          <w:tcPr>
            <w:tcW w:type="dxa" w:w="4824"/>
          </w:tcPr>
          <w:p>
            <w:r>
              <w:rPr>
                <w:sz w:val="17"/>
              </w:rPr>
              <w:t>Data and artifact return</w:t>
            </w:r>
          </w:p>
        </w:tc>
        <w:tc>
          <w:tcPr>
            <w:tcW w:type="dxa" w:w="4824"/>
          </w:tcPr>
          <w:p>
            <w:r>
              <w:rPr>
                <w:sz w:val="17"/>
              </w:rPr>
              <w:t>⚠ In a usable, documented format. "Available on request" is not a format.</w:t>
            </w:r>
          </w:p>
        </w:tc>
      </w:tr>
      <w:tr>
        <w:tc>
          <w:tcPr>
            <w:tcW w:type="dxa" w:w="4824"/>
          </w:tcPr>
          <w:p>
            <w:r>
              <w:rPr>
                <w:sz w:val="17"/>
              </w:rPr>
              <w:t>Configuration and IP</w:t>
            </w:r>
          </w:p>
        </w:tc>
        <w:tc>
          <w:tcPr>
            <w:tcW w:type="dxa" w:w="4824"/>
          </w:tcPr>
          <w:p>
            <w:r>
              <w:rPr>
                <w:sz w:val="17"/>
              </w:rPr>
              <w:t>ACME retains configuration, rules and documentation built during the engagement</w:t>
            </w:r>
          </w:p>
        </w:tc>
      </w:tr>
      <w:tr>
        <w:tc>
          <w:tcPr>
            <w:tcW w:type="dxa" w:w="4824"/>
          </w:tcPr>
          <w:p>
            <w:r>
              <w:rPr>
                <w:sz w:val="17"/>
              </w:rPr>
              <w:t>Access revocation</w:t>
            </w:r>
          </w:p>
        </w:tc>
        <w:tc>
          <w:tcPr>
            <w:tcW w:type="dxa" w:w="4824"/>
          </w:tcPr>
          <w:p>
            <w:r>
              <w:rPr>
                <w:sz w:val="17"/>
              </w:rPr>
              <w:t>Same-day on exit, evidenced. Includes subcontractor accounts.</w:t>
            </w:r>
          </w:p>
        </w:tc>
      </w:tr>
      <w:tr>
        <w:tc>
          <w:tcPr>
            <w:tcW w:type="dxa" w:w="4824"/>
          </w:tcPr>
          <w:p>
            <w:r>
              <w:rPr>
                <w:sz w:val="17"/>
              </w:rPr>
              <w:t>Knowledge transfer acceptance</w:t>
            </w:r>
          </w:p>
        </w:tc>
        <w:tc>
          <w:tcPr>
            <w:tcW w:type="dxa" w:w="4824"/>
          </w:tcPr>
          <w:p>
            <w:r>
              <w:rPr>
                <w:sz w:val="17"/>
              </w:rPr>
              <w:t>Reverse-shadowing: ACME performs unaided while the vendor observes</w:t>
            </w:r>
          </w:p>
        </w:tc>
      </w:tr>
      <w:tr>
        <w:tc>
          <w:tcPr>
            <w:tcW w:type="dxa" w:w="4824"/>
          </w:tcPr>
          <w:p>
            <w:r>
              <w:rPr>
                <w:sz w:val="17"/>
              </w:rPr>
              <w:t>Surviving obligations</w:t>
            </w:r>
          </w:p>
        </w:tc>
        <w:tc>
          <w:tcPr>
            <w:tcW w:type="dxa" w:w="4824"/>
          </w:tcPr>
          <w:p>
            <w:r>
              <w:rPr>
                <w:sz w:val="17"/>
              </w:rPr>
              <w:t>Confidentiality, business associate terms and record retention continue past termination</w:t>
            </w:r>
          </w:p>
        </w:tc>
      </w:tr>
    </w:tbl>
    <w:p/>
    <w:p>
      <w:pPr>
        <w:spacing w:before="120"/>
        <w:ind w:left="360"/>
      </w:pPr>
      <w:r>
        <w:rPr>
          <w:i/>
          <w:color w:val="12304A"/>
          <w:sz w:val="20"/>
        </w:rPr>
        <w:t>Every vendor on this program is temporary, including the ones nobody expects to leave. The managed service provider steps down by contract; the clean team dissolves at closing; the staffing vendor ends when the queue clears. Writing the exit terms while the relationship is new is straightforward and costs nothing; writing them while it is ending is a negotiation conducted from the weaker position. That is the practical reason transition-out is a mandatory §4 clause rather than something handled when the time comes.</w:t>
      </w:r>
    </w:p>
    <w:p>
      <w:pPr>
        <w:spacing w:before="320"/>
      </w:pPr>
      <w:r>
        <w:rPr>
          <w:b/>
          <w:color w:val="12304A"/>
          <w:sz w:val="28"/>
        </w:rPr>
        <w:t>Schedule A — Register of Engaged Suppliers and Signatories</w:t>
      </w:r>
    </w:p>
    <w:p>
      <w:r>
        <w:t>Every supplier the program engages, the instrument that binds them, and the officer authorized to execute on their behalf. Issued with this plan on August 28, 2023 and updated as instruments are executed.</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Ref</w:t>
            </w:r>
          </w:p>
        </w:tc>
        <w:tc>
          <w:tcPr>
            <w:tcW w:type="dxa" w:w="1608"/>
          </w:tcPr>
          <w:p>
            <w:r>
              <w:rPr>
                <w:b/>
                <w:sz w:val="17"/>
              </w:rPr>
              <w:t>Supplier and authorized signatory</w:t>
            </w:r>
          </w:p>
        </w:tc>
        <w:tc>
          <w:tcPr>
            <w:tcW w:type="dxa" w:w="1608"/>
          </w:tcPr>
          <w:p>
            <w:r>
              <w:rPr>
                <w:b/>
                <w:sz w:val="17"/>
              </w:rPr>
              <w:t>Instrument</w:t>
            </w:r>
          </w:p>
        </w:tc>
        <w:tc>
          <w:tcPr>
            <w:tcW w:type="dxa" w:w="1608"/>
          </w:tcPr>
          <w:p>
            <w:r>
              <w:rPr>
                <w:b/>
                <w:sz w:val="17"/>
              </w:rPr>
              <w:t>Vehicle</w:t>
            </w:r>
          </w:p>
        </w:tc>
        <w:tc>
          <w:tcPr>
            <w:tcW w:type="dxa" w:w="1608"/>
          </w:tcPr>
          <w:p>
            <w:r>
              <w:rPr>
                <w:b/>
                <w:sz w:val="17"/>
              </w:rPr>
              <w:t>ACME owner</w:t>
            </w:r>
          </w:p>
        </w:tc>
        <w:tc>
          <w:tcPr>
            <w:tcW w:type="dxa" w:w="1608"/>
          </w:tcPr>
          <w:p>
            <w:r>
              <w:rPr>
                <w:b/>
                <w:sz w:val="17"/>
              </w:rPr>
              <w:t>Warranty terms</w:t>
            </w:r>
          </w:p>
        </w:tc>
      </w:tr>
      <w:tr>
        <w:tc>
          <w:tcPr>
            <w:tcW w:type="dxa" w:w="1608"/>
          </w:tcPr>
          <w:p>
            <w:r>
              <w:rPr>
                <w:sz w:val="17"/>
              </w:rPr>
              <w:t>VN-01</w:t>
            </w:r>
          </w:p>
        </w:tc>
        <w:tc>
          <w:tcPr>
            <w:tcW w:type="dxa" w:w="1608"/>
          </w:tcPr>
          <w:p>
            <w:r>
              <w:rPr>
                <w:sz w:val="17"/>
              </w:rPr>
              <w:t>Arrington Advisory GroupG. Hollowell, Managing Principal</w:t>
            </w:r>
          </w:p>
        </w:tc>
        <w:tc>
          <w:tcPr>
            <w:tcW w:type="dxa" w:w="1608"/>
          </w:tcPr>
          <w:p>
            <w:r>
              <w:rPr>
                <w:sz w:val="17"/>
              </w:rPr>
              <w:t>ARR-2023-01</w:t>
            </w:r>
          </w:p>
        </w:tc>
        <w:tc>
          <w:tcPr>
            <w:tcW w:type="dxa" w:w="1608"/>
          </w:tcPr>
          <w:p>
            <w:r>
              <w:rPr>
                <w:sz w:val="17"/>
              </w:rPr>
              <w:t>Deliverable statement of work</w:t>
            </w:r>
          </w:p>
        </w:tc>
        <w:tc>
          <w:tcPr>
            <w:tcW w:type="dxa" w:w="1608"/>
          </w:tcPr>
          <w:p>
            <w:r>
              <w:rPr>
                <w:sz w:val="17"/>
              </w:rPr>
              <w:t>D. Ashmore</w:t>
            </w:r>
          </w:p>
        </w:tc>
        <w:tc>
          <w:tcPr>
            <w:tcW w:type="dxa" w:w="1608"/>
          </w:tcPr>
          <w:p>
            <w:r>
              <w:rPr>
                <w:sz w:val="17"/>
              </w:rPr>
              <w:t>none — services only</w:t>
            </w:r>
          </w:p>
        </w:tc>
      </w:tr>
      <w:tr>
        <w:tc>
          <w:tcPr>
            <w:tcW w:type="dxa" w:w="1608"/>
          </w:tcPr>
          <w:p>
            <w:r>
              <w:rPr>
                <w:sz w:val="17"/>
              </w:rPr>
              <w:t>VN-02</w:t>
            </w:r>
          </w:p>
        </w:tc>
        <w:tc>
          <w:tcPr>
            <w:tcW w:type="dxa" w:w="1608"/>
          </w:tcPr>
          <w:p>
            <w:r>
              <w:rPr>
                <w:sz w:val="17"/>
              </w:rPr>
              <w:t>Rutherford Cloud OperationsD. Pennington, President</w:t>
            </w:r>
          </w:p>
        </w:tc>
        <w:tc>
          <w:tcPr>
            <w:tcW w:type="dxa" w:w="1608"/>
          </w:tcPr>
          <w:p>
            <w:r>
              <w:rPr>
                <w:sz w:val="17"/>
              </w:rPr>
              <w:t>SOW-02</w:t>
            </w:r>
          </w:p>
        </w:tc>
        <w:tc>
          <w:tcPr>
            <w:tcW w:type="dxa" w:w="1608"/>
          </w:tcPr>
          <w:p>
            <w:r>
              <w:rPr>
                <w:sz w:val="17"/>
              </w:rPr>
              <w:t>Fixed price for the operating baseline, time and materials for project work</w:t>
            </w:r>
          </w:p>
        </w:tc>
        <w:tc>
          <w:tcPr>
            <w:tcW w:type="dxa" w:w="1608"/>
          </w:tcPr>
          <w:p>
            <w:r>
              <w:rPr>
                <w:sz w:val="17"/>
              </w:rPr>
              <w:t>B. Trammell</w:t>
            </w:r>
          </w:p>
        </w:tc>
        <w:tc>
          <w:tcPr>
            <w:tcW w:type="dxa" w:w="1608"/>
          </w:tcPr>
          <w:p>
            <w:r>
              <w:rPr>
                <w:sz w:val="17"/>
              </w:rPr>
              <w:t>4 of 8</w:t>
            </w:r>
          </w:p>
        </w:tc>
      </w:tr>
      <w:tr>
        <w:tc>
          <w:tcPr>
            <w:tcW w:type="dxa" w:w="1608"/>
          </w:tcPr>
          <w:p>
            <w:r>
              <w:rPr>
                <w:sz w:val="17"/>
              </w:rPr>
              <w:t>VN-03</w:t>
            </w:r>
          </w:p>
        </w:tc>
        <w:tc>
          <w:tcPr>
            <w:tcW w:type="dxa" w:w="1608"/>
          </w:tcPr>
          <w:p>
            <w:r>
              <w:rPr>
                <w:sz w:val="17"/>
              </w:rPr>
              <w:t>Gallatin EDI AssuranceM. Everly, Managing Director</w:t>
            </w:r>
          </w:p>
        </w:tc>
        <w:tc>
          <w:tcPr>
            <w:tcW w:type="dxa" w:w="1608"/>
          </w:tcPr>
          <w:p>
            <w:r>
              <w:rPr>
                <w:sz w:val="17"/>
              </w:rPr>
              <w:t>SOW-03</w:t>
            </w:r>
          </w:p>
        </w:tc>
        <w:tc>
          <w:tcPr>
            <w:tcW w:type="dxa" w:w="1608"/>
          </w:tcPr>
          <w:p>
            <w:r>
              <w:rPr>
                <w:sz w:val="17"/>
              </w:rPr>
              <w:t>Fixed price, deliverable-based</w:t>
            </w:r>
          </w:p>
        </w:tc>
        <w:tc>
          <w:tcPr>
            <w:tcW w:type="dxa" w:w="1608"/>
          </w:tcPr>
          <w:p>
            <w:r>
              <w:rPr>
                <w:sz w:val="17"/>
              </w:rPr>
              <w:t>W. Ferriday</w:t>
            </w:r>
          </w:p>
        </w:tc>
        <w:tc>
          <w:tcPr>
            <w:tcW w:type="dxa" w:w="1608"/>
          </w:tcPr>
          <w:p>
            <w:r>
              <w:rPr>
                <w:sz w:val="17"/>
              </w:rPr>
              <w:t>2 of 8</w:t>
            </w:r>
          </w:p>
        </w:tc>
      </w:tr>
      <w:tr>
        <w:tc>
          <w:tcPr>
            <w:tcW w:type="dxa" w:w="1608"/>
          </w:tcPr>
          <w:p>
            <w:r>
              <w:rPr>
                <w:sz w:val="17"/>
              </w:rPr>
              <w:t>VN-04</w:t>
            </w:r>
          </w:p>
        </w:tc>
        <w:tc>
          <w:tcPr>
            <w:tcW w:type="dxa" w:w="1608"/>
          </w:tcPr>
          <w:p>
            <w:r>
              <w:rPr>
                <w:sz w:val="17"/>
              </w:rPr>
              <w:t>Two Rivers Talent PartnersR. Sowell, President</w:t>
            </w:r>
          </w:p>
        </w:tc>
        <w:tc>
          <w:tcPr>
            <w:tcW w:type="dxa" w:w="1608"/>
          </w:tcPr>
          <w:p>
            <w:r>
              <w:rPr>
                <w:sz w:val="17"/>
              </w:rPr>
              <w:t>SOW-04</w:t>
            </w:r>
          </w:p>
        </w:tc>
        <w:tc>
          <w:tcPr>
            <w:tcW w:type="dxa" w:w="1608"/>
          </w:tcPr>
          <w:p>
            <w:r>
              <w:rPr>
                <w:sz w:val="17"/>
              </w:rPr>
              <w:t>Time and materials, staff augmentation</w:t>
            </w:r>
          </w:p>
        </w:tc>
        <w:tc>
          <w:tcPr>
            <w:tcW w:type="dxa" w:w="1608"/>
          </w:tcPr>
          <w:p>
            <w:r>
              <w:rPr>
                <w:sz w:val="17"/>
              </w:rPr>
              <w:t>T. Vandiver</w:t>
            </w:r>
          </w:p>
        </w:tc>
        <w:tc>
          <w:tcPr>
            <w:tcW w:type="dxa" w:w="1608"/>
          </w:tcPr>
          <w:p>
            <w:r>
              <w:rPr>
                <w:sz w:val="17"/>
              </w:rPr>
              <w:t>none — services only</w:t>
            </w:r>
          </w:p>
        </w:tc>
      </w:tr>
      <w:tr>
        <w:tc>
          <w:tcPr>
            <w:tcW w:type="dxa" w:w="1608"/>
          </w:tcPr>
          <w:p>
            <w:r>
              <w:rPr>
                <w:sz w:val="17"/>
              </w:rPr>
              <w:t>VN-05</w:t>
            </w:r>
          </w:p>
        </w:tc>
        <w:tc>
          <w:tcPr>
            <w:tcW w:type="dxa" w:w="1608"/>
          </w:tcPr>
          <w:p>
            <w:r>
              <w:rPr>
                <w:sz w:val="17"/>
              </w:rPr>
              <w:t>Harpeth Clean Team ServicesE. Sandlin, Managing Partner</w:t>
            </w:r>
          </w:p>
        </w:tc>
        <w:tc>
          <w:tcPr>
            <w:tcW w:type="dxa" w:w="1608"/>
          </w:tcPr>
          <w:p>
            <w:r>
              <w:rPr>
                <w:sz w:val="17"/>
              </w:rPr>
              <w:t>SOW-05</w:t>
            </w:r>
          </w:p>
        </w:tc>
        <w:tc>
          <w:tcPr>
            <w:tcW w:type="dxa" w:w="1608"/>
          </w:tcPr>
          <w:p>
            <w:r>
              <w:rPr>
                <w:sz w:val="17"/>
              </w:rPr>
              <w:t>Fixed price, engaged through ACME Legal</w:t>
            </w:r>
          </w:p>
        </w:tc>
        <w:tc>
          <w:tcPr>
            <w:tcW w:type="dxa" w:w="1608"/>
          </w:tcPr>
          <w:p>
            <w:r>
              <w:rPr>
                <w:sz w:val="17"/>
              </w:rPr>
              <w:t>L. Hollingsworth</w:t>
            </w:r>
          </w:p>
        </w:tc>
        <w:tc>
          <w:tcPr>
            <w:tcW w:type="dxa" w:w="1608"/>
          </w:tcPr>
          <w:p>
            <w:r>
              <w:rPr>
                <w:sz w:val="17"/>
              </w:rPr>
              <w:t>none — services only</w:t>
            </w:r>
          </w:p>
        </w:tc>
      </w:tr>
      <w:tr>
        <w:tc>
          <w:tcPr>
            <w:tcW w:type="dxa" w:w="1608"/>
          </w:tcPr>
          <w:p>
            <w:r>
              <w:rPr>
                <w:sz w:val="17"/>
              </w:rPr>
              <w:t>VN-06</w:t>
            </w:r>
          </w:p>
        </w:tc>
        <w:tc>
          <w:tcPr>
            <w:tcW w:type="dxa" w:w="1608"/>
          </w:tcPr>
          <w:p>
            <w:r>
              <w:rPr>
                <w:sz w:val="17"/>
              </w:rPr>
              <w:t>Madison Data SystemsA. Thornbury, Senior Vice President, Contracts</w:t>
            </w:r>
          </w:p>
        </w:tc>
        <w:tc>
          <w:tcPr>
            <w:tcW w:type="dxa" w:w="1608"/>
          </w:tcPr>
          <w:p>
            <w:r>
              <w:rPr>
                <w:sz w:val="17"/>
              </w:rPr>
              <w:t>SOW-06</w:t>
            </w:r>
          </w:p>
        </w:tc>
        <w:tc>
          <w:tcPr>
            <w:tcW w:type="dxa" w:w="1608"/>
          </w:tcPr>
          <w:p>
            <w:r>
              <w:rPr>
                <w:sz w:val="17"/>
              </w:rPr>
              <w:t>Perpetual license + implementation services + annual support</w:t>
            </w:r>
          </w:p>
        </w:tc>
        <w:tc>
          <w:tcPr>
            <w:tcW w:type="dxa" w:w="1608"/>
          </w:tcPr>
          <w:p>
            <w:r>
              <w:rPr>
                <w:sz w:val="17"/>
              </w:rPr>
              <w:t>Dr. A. Ravindran</w:t>
            </w:r>
          </w:p>
        </w:tc>
        <w:tc>
          <w:tcPr>
            <w:tcW w:type="dxa" w:w="1608"/>
          </w:tcPr>
          <w:p>
            <w:r>
              <w:rPr>
                <w:sz w:val="17"/>
              </w:rPr>
              <w:t>8 of 8</w:t>
            </w:r>
          </w:p>
        </w:tc>
      </w:tr>
      <w:tr>
        <w:tc>
          <w:tcPr>
            <w:tcW w:type="dxa" w:w="1608"/>
          </w:tcPr>
          <w:p>
            <w:r>
              <w:rPr>
                <w:sz w:val="17"/>
              </w:rPr>
              <w:t>VN-07</w:t>
            </w:r>
          </w:p>
        </w:tc>
        <w:tc>
          <w:tcPr>
            <w:tcW w:type="dxa" w:w="1608"/>
          </w:tcPr>
          <w:p>
            <w:r>
              <w:rPr>
                <w:sz w:val="17"/>
              </w:rPr>
              <w:t>Microsoft AzureT. Hargrove, Vice President, Enterprise Agreements</w:t>
            </w:r>
          </w:p>
        </w:tc>
        <w:tc>
          <w:tcPr>
            <w:tcW w:type="dxa" w:w="1608"/>
          </w:tcPr>
          <w:p>
            <w:r>
              <w:rPr>
                <w:sz w:val="17"/>
              </w:rPr>
              <w:t>SOW-07</w:t>
            </w:r>
          </w:p>
        </w:tc>
        <w:tc>
          <w:tcPr>
            <w:tcW w:type="dxa" w:w="1608"/>
          </w:tcPr>
          <w:p>
            <w:r>
              <w:rPr>
                <w:sz w:val="17"/>
              </w:rPr>
              <w:t>Consumption, ordered under ACME's existing enterprise agreement</w:t>
            </w:r>
          </w:p>
        </w:tc>
        <w:tc>
          <w:tcPr>
            <w:tcW w:type="dxa" w:w="1608"/>
          </w:tcPr>
          <w:p>
            <w:r>
              <w:rPr>
                <w:sz w:val="17"/>
              </w:rPr>
              <w:t>B. Trammell</w:t>
            </w:r>
          </w:p>
        </w:tc>
        <w:tc>
          <w:tcPr>
            <w:tcW w:type="dxa" w:w="1608"/>
          </w:tcPr>
          <w:p>
            <w:r>
              <w:rPr>
                <w:sz w:val="17"/>
              </w:rPr>
              <w:t>3 of 8</w:t>
            </w:r>
          </w:p>
        </w:tc>
      </w:tr>
      <w:tr>
        <w:tc>
          <w:tcPr>
            <w:tcW w:type="dxa" w:w="1608"/>
          </w:tcPr>
          <w:p>
            <w:r>
              <w:rPr>
                <w:sz w:val="17"/>
              </w:rPr>
              <w:t>VN-08</w:t>
            </w:r>
          </w:p>
        </w:tc>
        <w:tc>
          <w:tcPr>
            <w:tcW w:type="dxa" w:w="1608"/>
          </w:tcPr>
          <w:p>
            <w:r>
              <w:rPr>
                <w:sz w:val="17"/>
              </w:rPr>
              <w:t>Murfreesboro Secure LogisticsC. Wexler, Director of Secure Logistics</w:t>
            </w:r>
          </w:p>
        </w:tc>
        <w:tc>
          <w:tcPr>
            <w:tcW w:type="dxa" w:w="1608"/>
          </w:tcPr>
          <w:p>
            <w:r>
              <w:rPr>
                <w:sz w:val="17"/>
              </w:rPr>
              <w:t>SOW-08</w:t>
            </w:r>
          </w:p>
        </w:tc>
        <w:tc>
          <w:tcPr>
            <w:tcW w:type="dxa" w:w="1608"/>
          </w:tcPr>
          <w:p>
            <w:r>
              <w:rPr>
                <w:sz w:val="17"/>
              </w:rPr>
              <w:t>Fixed price per appliance rotation</w:t>
            </w:r>
          </w:p>
        </w:tc>
        <w:tc>
          <w:tcPr>
            <w:tcW w:type="dxa" w:w="1608"/>
          </w:tcPr>
          <w:p>
            <w:r>
              <w:rPr>
                <w:sz w:val="17"/>
              </w:rPr>
              <w:t>D. Fontenot</w:t>
            </w:r>
          </w:p>
        </w:tc>
        <w:tc>
          <w:tcPr>
            <w:tcW w:type="dxa" w:w="1608"/>
          </w:tcPr>
          <w:p>
            <w:r>
              <w:rPr>
                <w:sz w:val="17"/>
              </w:rPr>
              <w:t>2 of 8</w:t>
            </w:r>
          </w:p>
        </w:tc>
      </w:tr>
    </w:tbl>
    <w:p/>
    <w:p>
      <w:pPr>
        <w:spacing w:before="120"/>
        <w:ind w:left="360"/>
      </w:pPr>
      <w:r>
        <w:rPr>
          <w:i/>
          <w:color w:val="12304A"/>
          <w:sz w:val="20"/>
        </w:rPr>
        <w:t>The second column carries the name of a person, not only a company, and that is the point of the schedule. A register that lists suppliers answers "who are we buying from". A register that lists the authorized signatory answers "who can bind them" — which is the question that matters when a deliverable is late, a term is disputed, or an instrument has to be amended under time pressure. ⚠ Two entries deliberately carry no program signatory: the Clean Team is engaged by counsel rather than by the program, and the cloud platform sits under an enterprise agreement that predates this transaction. Both are listed rather than omitted, so a reader does not conclude the register is incomplete.</w:t>
      </w:r>
    </w:p>
    <w:p>
      <w:pPr>
        <w:spacing w:before="120"/>
        <w:ind w:left="360"/>
      </w:pPr>
      <w:r>
        <w:rPr>
          <w:i/>
          <w:color w:val="12304A"/>
          <w:sz w:val="20"/>
        </w:rPr>
        <w:t>Every execution requires four signatures — the ACME owner named above, the supplier's authorized officer, VP Procurement, and General Counsel. The full block appears at §7 of each statement of work. Procurement confirms the commercial terms match the framework agreement; Legal confirms the §4 and §5 clauses are present rather than assumed.</w:t>
      </w:r>
    </w:p>
    <w:p>
      <w:r>
        <w:t>Related artifacts: 8 — Consulting SOW &amp; Engagement Model · 9 — Integration Management Plan · 12 — Program Budget · 14 — Resource Plan · 17 — Communications Plan · 21 — Vendor &amp; Contract Disposition Matrix · 22 — TSA Schedule &amp; Exit Plan · 24 — Cloud Migration Strategy</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