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PROGRAM CLOSURE · VITALIS THERAPEUTICS INC. · ILLUSTRATIVE END-STATE SAMPLE — FORWARD-DATED, NOT RECONCILED</w:t>
      </w:r>
    </w:p>
    <w:p>
      <w:r>
        <w:rPr>
          <w:b/>
          <w:color w:val="12304A"/>
          <w:sz w:val="44"/>
        </w:rPr>
        <w:t>Benefits Realization</w:t>
      </w:r>
    </w:p>
    <w:p>
      <w:r>
        <w:rPr>
          <w:i/>
          <w:color w:val="6B7280"/>
          <w:sz w:val="17"/>
        </w:rPr>
        <w:t>Vitalis Therapeutics Inc. · VitaFlow (VTX-401) · Benefits Realization · 30 June 2030. Illustrative end-state sample — forward-dated, not reconciled. Fictional program.</w:t>
      </w:r>
    </w:p>
    <w:p/>
    <w:p>
      <w:r>
        <w:t>Vitalis Therapeutics Inc. — Benefits realization for the VitaFlow (VTX-401) program at closure: the five benefits claimed at Gate 4, their realization horizons and owners, what can honestly be assessed after eight months of commercial performance, and what must be handed to permanent owners with dates attached.</w:t>
      </w:r>
    </w:p>
    <w:p>
      <w:pPr>
        <w:spacing w:before="120"/>
        <w:ind w:left="360"/>
      </w:pPr>
      <w:r>
        <w:rPr>
          <w:i/>
          <w:color w:val="12304A"/>
          <w:sz w:val="20"/>
        </w:rPr>
        <w:t>Forward-dated end-state sample. Written at program closure, 30 June 2030 — eight months after launch and more than three years beyond the 15 October 2026 status date of the in-flight suite.</w:t>
      </w:r>
    </w:p>
    <w:p>
      <w:pPr>
        <w:spacing w:before="320"/>
      </w:pPr>
      <w:r>
        <w:rPr>
          <w:b/>
          <w:color w:val="12304A"/>
          <w:sz w:val="28"/>
        </w:rPr>
        <w:t>1. The Problem This Document Cannot Solve</w:t>
      </w:r>
    </w:p>
    <w:p>
      <w:r>
        <w:t>A program closes before its benefits arrive. That single fact defeats most benefits realization practice, and no amount of process design fixes it.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r>
          </w:p>
        </w:tc>
      </w:tr>
      <w:tr>
        <w:tc>
          <w:tcPr>
            <w:tcW w:type="dxa" w:w="4824"/>
          </w:tcPr>
          <w:p>
            <w:r>
              <w:rPr>
                <w:sz w:val="17"/>
              </w:rPr>
              <w:t>Benefits claimed at Gate 4</w:t>
            </w:r>
          </w:p>
        </w:tc>
        <w:tc>
          <w:tcPr>
            <w:tcW w:type="dxa" w:w="4824"/>
          </w:tcPr>
          <w:p>
            <w:r>
              <w:rPr>
                <w:sz w:val="17"/>
              </w:rPr>
              <w:t>5</w:t>
            </w:r>
          </w:p>
        </w:tc>
      </w:tr>
      <w:tr>
        <w:tc>
          <w:tcPr>
            <w:tcW w:type="dxa" w:w="4824"/>
          </w:tcPr>
          <w:p>
            <w:r>
              <w:rPr>
                <w:sz w:val="17"/>
              </w:rPr>
              <w:t>Assessable at closure</w:t>
            </w:r>
          </w:p>
        </w:tc>
        <w:tc>
          <w:tcPr>
            <w:tcW w:type="dxa" w:w="4824"/>
          </w:tcPr>
          <w:p>
            <w:r>
              <w:rPr>
                <w:sz w:val="17"/>
              </w:rPr>
              <w:t>3</w:t>
            </w:r>
          </w:p>
        </w:tc>
      </w:tr>
      <w:tr>
        <w:tc>
          <w:tcPr>
            <w:tcW w:type="dxa" w:w="4824"/>
          </w:tcPr>
          <w:p>
            <w:r>
              <w:rPr>
                <w:sz w:val="17"/>
              </w:rPr>
              <w:t>First assessable after closure</w:t>
            </w:r>
          </w:p>
        </w:tc>
        <w:tc>
          <w:tcPr>
            <w:tcW w:type="dxa" w:w="4824"/>
          </w:tcPr>
          <w:p>
            <w:r>
              <w:rPr>
                <w:sz w:val="17"/>
              </w:rPr>
              <w:t>3</w:t>
            </w:r>
          </w:p>
        </w:tc>
      </w:tr>
      <w:tr>
        <w:tc>
          <w:tcPr>
            <w:tcW w:type="dxa" w:w="4824"/>
          </w:tcPr>
          <w:p>
            <w:r>
              <w:rPr>
                <w:sz w:val="17"/>
              </w:rPr>
              <w:t>Latest horizon</w:t>
            </w:r>
          </w:p>
        </w:tc>
        <w:tc>
          <w:tcPr>
            <w:tcW w:type="dxa" w:w="4824"/>
          </w:tcPr>
          <w:p>
            <w:r>
              <w:rPr>
                <w:sz w:val="17"/>
              </w:rPr>
              <w:t>2039 — nine years after the program ceased to exist</w:t>
            </w:r>
          </w:p>
        </w:tc>
      </w:tr>
    </w:tbl>
    <w:p/>
    <w:p>
      <w:pPr>
        <w:spacing w:before="120"/>
        <w:ind w:left="360"/>
      </w:pPr>
      <w:r>
        <w:rPr>
          <w:i/>
          <w:color w:val="12304A"/>
          <w:sz w:val="20"/>
        </w:rPr>
        <w:t>The temptation at this point is to report the benefits as delivered. The NDA was approved, the process was validated, the product launched. All true, all verifiable, all satisfying to write.</w:t>
      </w:r>
    </w:p>
    <w:p>
      <w:pPr>
        <w:spacing w:before="120"/>
        <w:ind w:left="360"/>
      </w:pPr>
      <w:r>
        <w:rPr>
          <w:i/>
          <w:color w:val="12304A"/>
          <w:sz w:val="20"/>
        </w:rPr>
        <w:t>None of them are benefits. They are outputs — and the reason benefits plans so reliably report green at closure is that outputs are the only thing available to report on when a program ends.</w:t>
      </w:r>
    </w:p>
    <w:p>
      <w:pPr>
        <w:spacing w:before="320"/>
      </w:pPr>
      <w:r>
        <w:rPr>
          <w:b/>
          <w:color w:val="12304A"/>
          <w:sz w:val="28"/>
        </w:rPr>
        <w:t>2. Output, Outcome, Benefit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Layer</w:t>
            </w:r>
          </w:p>
        </w:tc>
        <w:tc>
          <w:tcPr>
            <w:tcW w:type="dxa" w:w="2412"/>
          </w:tcPr>
          <w:p>
            <w:r>
              <w:rPr>
                <w:b/>
                <w:sz w:val="17"/>
              </w:rPr>
              <w:t>Definition</w:t>
            </w:r>
          </w:p>
        </w:tc>
        <w:tc>
          <w:tcPr>
            <w:tcW w:type="dxa" w:w="2412"/>
          </w:tcPr>
          <w:p>
            <w:r>
              <w:rPr>
                <w:b/>
                <w:sz w:val="17"/>
              </w:rPr>
              <w:t>In this program</w:t>
            </w:r>
          </w:p>
        </w:tc>
        <w:tc>
          <w:tcPr>
            <w:tcW w:type="dxa" w:w="2412"/>
          </w:tcPr>
          <w:p>
            <w:r>
              <w:rPr>
                <w:b/>
                <w:sz w:val="17"/>
              </w:rPr>
              <w:t>Control and observability</w:t>
            </w:r>
          </w:p>
        </w:tc>
      </w:tr>
      <w:tr>
        <w:tc>
          <w:tcPr>
            <w:tcW w:type="dxa" w:w="2412"/>
          </w:tcPr>
          <w:p>
            <w:r>
              <w:rPr>
                <w:sz w:val="17"/>
              </w:rPr>
              <w:t>Output</w:t>
            </w:r>
          </w:p>
        </w:tc>
        <w:tc>
          <w:tcPr>
            <w:tcW w:type="dxa" w:w="2412"/>
          </w:tcPr>
          <w:p>
            <w:r>
              <w:rPr>
                <w:sz w:val="17"/>
              </w:rPr>
              <w:t>What the program produced</w:t>
            </w:r>
          </w:p>
        </w:tc>
        <w:tc>
          <w:tcPr>
            <w:tcW w:type="dxa" w:w="2412"/>
          </w:tcPr>
          <w:p>
            <w:r>
              <w:rPr>
                <w:sz w:val="17"/>
              </w:rPr>
              <w:t>An approved NDA, a validated commercial process, a trained field force.</w:t>
            </w:r>
          </w:p>
        </w:tc>
        <w:tc>
          <w:tcPr>
            <w:tcW w:type="dxa" w:w="2412"/>
          </w:tcPr>
          <w:p>
            <w:r>
              <w:rPr>
                <w:sz w:val="17"/>
              </w:rPr>
              <w:t>Fully within the program's control. Complete at closure.</w:t>
            </w:r>
          </w:p>
        </w:tc>
      </w:tr>
      <w:tr>
        <w:tc>
          <w:tcPr>
            <w:tcW w:type="dxa" w:w="2412"/>
          </w:tcPr>
          <w:p>
            <w:r>
              <w:rPr>
                <w:sz w:val="17"/>
              </w:rPr>
              <w:t>Outcome</w:t>
            </w:r>
          </w:p>
        </w:tc>
        <w:tc>
          <w:tcPr>
            <w:tcW w:type="dxa" w:w="2412"/>
          </w:tcPr>
          <w:p>
            <w:r>
              <w:rPr>
                <w:sz w:val="17"/>
              </w:rPr>
              <w:t>What changed because of the output</w:t>
            </w:r>
          </w:p>
        </w:tc>
        <w:tc>
          <w:tcPr>
            <w:tcW w:type="dxa" w:w="2412"/>
          </w:tcPr>
          <w:p>
            <w:r>
              <w:rPr>
                <w:sz w:val="17"/>
              </w:rPr>
              <w:t>Patients on therapy, formulary positions won, prescriptions written.</w:t>
            </w:r>
          </w:p>
        </w:tc>
        <w:tc>
          <w:tcPr>
            <w:tcW w:type="dxa" w:w="2412"/>
          </w:tcPr>
          <w:p>
            <w:r>
              <w:rPr>
                <w:sz w:val="17"/>
              </w:rPr>
              <w:t>Partly within the program's control. Beginning to be observable at closure.</w:t>
            </w:r>
          </w:p>
        </w:tc>
      </w:tr>
      <w:tr>
        <w:tc>
          <w:tcPr>
            <w:tcW w:type="dxa" w:w="2412"/>
          </w:tcPr>
          <w:p>
            <w:r>
              <w:rPr>
                <w:sz w:val="17"/>
              </w:rPr>
              <w:t>Benefit</w:t>
            </w:r>
          </w:p>
        </w:tc>
        <w:tc>
          <w:tcPr>
            <w:tcW w:type="dxa" w:w="2412"/>
          </w:tcPr>
          <w:p>
            <w:r>
              <w:rPr>
                <w:sz w:val="17"/>
              </w:rPr>
              <w:t>The value the organization actually receives</w:t>
            </w:r>
          </w:p>
        </w:tc>
        <w:tc>
          <w:tcPr>
            <w:tcW w:type="dxa" w:w="2412"/>
          </w:tcPr>
          <w:p>
            <w:r>
              <w:rPr>
                <w:sz w:val="17"/>
              </w:rPr>
              <w:t>Return on the development investment, reusable capability, option value.</w:t>
            </w:r>
          </w:p>
        </w:tc>
        <w:tc>
          <w:tcPr>
            <w:tcW w:type="dxa" w:w="2412"/>
          </w:tcPr>
          <w:p>
            <w:r>
              <w:rPr>
                <w:sz w:val="17"/>
              </w:rPr>
              <w:t>Largely outside the program's control and mostly unobservable at closure.</w:t>
            </w:r>
          </w:p>
        </w:tc>
      </w:tr>
    </w:tbl>
    <w:p/>
    <w:p>
      <w:pPr>
        <w:spacing w:before="120"/>
        <w:ind w:left="360"/>
      </w:pPr>
      <w:r>
        <w:rPr>
          <w:i/>
          <w:color w:val="12304A"/>
          <w:sz w:val="20"/>
        </w:rPr>
        <w:t>The three are routinely used interchangeably and they are not the same thing.</w:t>
      </w:r>
    </w:p>
    <w:p>
      <w:pPr>
        <w:spacing w:before="120"/>
        <w:ind w:left="360"/>
      </w:pPr>
      <w:r>
        <w:rPr>
          <w:i/>
          <w:color w:val="12304A"/>
          <w:sz w:val="20"/>
        </w:rPr>
        <w:t>An approved NDA is an output. Patients receiving therapy is an outcome. A return on the $238,600,000 the organization actually spent is a benefit — and it is the only one of the three that answers the question the Board asked at Gate 0.</w:t>
      </w:r>
    </w:p>
    <w:p>
      <w:pPr>
        <w:spacing w:before="120"/>
        <w:ind w:left="360"/>
      </w:pPr>
      <w:r>
        <w:rPr>
          <w:i/>
          <w:color w:val="12304A"/>
          <w:sz w:val="20"/>
        </w:rPr>
        <w:t>Programs are structurally biased toward reporting outputs, because outputs are what they control, what they can evidence, and what exists on the day they close. The discipline is refusing to let an output stand in for a benefit just because the benefit is not yet observable.</w:t>
      </w:r>
    </w:p>
    <w:p>
      <w:pPr>
        <w:spacing w:before="320"/>
      </w:pPr>
      <w:r>
        <w:rPr>
          <w:b/>
          <w:color w:val="12304A"/>
          <w:sz w:val="28"/>
        </w:rPr>
        <w:t>3. The Benefit Register</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Benefit</w:t>
            </w:r>
          </w:p>
        </w:tc>
        <w:tc>
          <w:tcPr>
            <w:tcW w:type="dxa" w:w="1930"/>
          </w:tcPr>
          <w:p>
            <w:r>
              <w:rPr>
                <w:b/>
                <w:sz w:val="17"/>
              </w:rPr>
              <w:t>Claimed at Gate 4</w:t>
            </w:r>
          </w:p>
        </w:tc>
        <w:tc>
          <w:tcPr>
            <w:tcW w:type="dxa" w:w="1930"/>
          </w:tcPr>
          <w:p>
            <w:r>
              <w:rPr>
                <w:b/>
                <w:sz w:val="17"/>
              </w:rPr>
              <w:t>First assessable</w:t>
            </w:r>
          </w:p>
        </w:tc>
        <w:tc>
          <w:tcPr>
            <w:tcW w:type="dxa" w:w="1930"/>
          </w:tcPr>
          <w:p>
            <w:r>
              <w:rPr>
                <w:b/>
                <w:sz w:val="17"/>
              </w:rPr>
              <w:t>Owner</w:t>
            </w:r>
          </w:p>
        </w:tc>
      </w:tr>
      <w:tr>
        <w:tc>
          <w:tcPr>
            <w:tcW w:type="dxa" w:w="1930"/>
          </w:tcPr>
          <w:p>
            <w:r>
              <w:rPr>
                <w:sz w:val="17"/>
              </w:rPr>
              <w:t>B-01</w:t>
            </w:r>
          </w:p>
        </w:tc>
        <w:tc>
          <w:tcPr>
            <w:tcW w:type="dxa" w:w="1930"/>
          </w:tcPr>
          <w:p>
            <w:r>
              <w:rPr>
                <w:sz w:val="17"/>
              </w:rPr>
              <w:t>Financial return on the development investment</w:t>
            </w:r>
          </w:p>
        </w:tc>
        <w:tc>
          <w:tcPr>
            <w:tcW w:type="dxa" w:w="1930"/>
          </w:tcPr>
          <w:p>
            <w:r>
              <w:rPr>
                <w:sz w:val="17"/>
              </w:rPr>
              <w:t>NPV $1,362,000,000 · IRR 43.6% over a ten-year commercial horizon</w:t>
            </w:r>
          </w:p>
        </w:tc>
        <w:tc>
          <w:tcPr>
            <w:tcW w:type="dxa" w:w="1930"/>
          </w:tcPr>
          <w:p>
            <w:r>
              <w:rPr>
                <w:sz w:val="17"/>
              </w:rPr>
              <w:t>2039</w:t>
            </w:r>
          </w:p>
        </w:tc>
        <w:tc>
          <w:tcPr>
            <w:tcW w:type="dxa" w:w="1930"/>
          </w:tcPr>
          <w:p>
            <w:r>
              <w:rPr>
                <w:sz w:val="17"/>
              </w:rPr>
              <w:t>Chief Financial Officer</w:t>
            </w:r>
          </w:p>
        </w:tc>
      </w:tr>
      <w:tr>
        <w:tc>
          <w:tcPr>
            <w:tcW w:type="dxa" w:w="1930"/>
          </w:tcPr>
          <w:p>
            <w:r>
              <w:rPr>
                <w:sz w:val="17"/>
              </w:rPr>
              <w:t>B-02</w:t>
            </w:r>
          </w:p>
        </w:tc>
        <w:tc>
          <w:tcPr>
            <w:tcW w:type="dxa" w:w="1930"/>
          </w:tcPr>
          <w:p>
            <w:r>
              <w:rPr>
                <w:sz w:val="17"/>
              </w:rPr>
              <w:t>Patients treated</w:t>
            </w:r>
          </w:p>
        </w:tc>
        <w:tc>
          <w:tcPr>
            <w:tcW w:type="dxa" w:w="1930"/>
          </w:tcPr>
          <w:p>
            <w:r>
              <w:rPr>
                <w:sz w:val="17"/>
              </w:rPr>
              <w:t>14,200 patients on therapy in the opening window; 131,200 at peak</w:t>
            </w:r>
          </w:p>
        </w:tc>
        <w:tc>
          <w:tcPr>
            <w:tcW w:type="dxa" w:w="1930"/>
          </w:tcPr>
          <w:p>
            <w:r>
              <w:rPr>
                <w:sz w:val="17"/>
              </w:rPr>
              <w:t>2034</w:t>
            </w:r>
          </w:p>
        </w:tc>
        <w:tc>
          <w:tcPr>
            <w:tcW w:type="dxa" w:w="1930"/>
          </w:tcPr>
          <w:p>
            <w:r>
              <w:rPr>
                <w:sz w:val="17"/>
              </w:rPr>
              <w:t>SVP Market Access</w:t>
            </w:r>
          </w:p>
        </w:tc>
      </w:tr>
      <w:tr>
        <w:tc>
          <w:tcPr>
            <w:tcW w:type="dxa" w:w="1930"/>
          </w:tcPr>
          <w:p>
            <w:r>
              <w:rPr>
                <w:sz w:val="17"/>
              </w:rPr>
              <w:t>B-03</w:t>
            </w:r>
          </w:p>
        </w:tc>
        <w:tc>
          <w:tcPr>
            <w:tcW w:type="dxa" w:w="1930"/>
          </w:tcPr>
          <w:p>
            <w:r>
              <w:rPr>
                <w:sz w:val="17"/>
              </w:rPr>
              <w:t>Commercial-scale peptide manufacturing capability</w:t>
            </w:r>
          </w:p>
        </w:tc>
        <w:tc>
          <w:tcPr>
            <w:tcW w:type="dxa" w:w="1930"/>
          </w:tcPr>
          <w:p>
            <w:r>
              <w:rPr>
                <w:sz w:val="17"/>
              </w:rPr>
              <w:t>Qualified commercial process at Aldergate, validated and inspected</w:t>
            </w:r>
          </w:p>
        </w:tc>
        <w:tc>
          <w:tcPr>
            <w:tcW w:type="dxa" w:w="1930"/>
          </w:tcPr>
          <w:p>
            <w:r>
              <w:rPr>
                <w:sz w:val="17"/>
              </w:rPr>
              <w:t>2029</w:t>
            </w:r>
          </w:p>
        </w:tc>
        <w:tc>
          <w:tcPr>
            <w:tcW w:type="dxa" w:w="1930"/>
          </w:tcPr>
          <w:p>
            <w:r>
              <w:rPr>
                <w:sz w:val="17"/>
              </w:rPr>
              <w:t>Chief Quality Officer</w:t>
            </w:r>
          </w:p>
        </w:tc>
      </w:tr>
      <w:tr>
        <w:tc>
          <w:tcPr>
            <w:tcW w:type="dxa" w:w="1930"/>
          </w:tcPr>
          <w:p>
            <w:r>
              <w:rPr>
                <w:sz w:val="17"/>
              </w:rPr>
              <w:t>B-04</w:t>
            </w:r>
          </w:p>
        </w:tc>
        <w:tc>
          <w:tcPr>
            <w:tcW w:type="dxa" w:w="1930"/>
          </w:tcPr>
          <w:p>
            <w:r>
              <w:rPr>
                <w:sz w:val="17"/>
              </w:rPr>
              <w:t>First NME approval for the organization</w:t>
            </w:r>
          </w:p>
        </w:tc>
        <w:tc>
          <w:tcPr>
            <w:tcW w:type="dxa" w:w="1930"/>
          </w:tcPr>
          <w:p>
            <w:r>
              <w:rPr>
                <w:sz w:val="17"/>
              </w:rPr>
              <w:t>An approved 505(b)(1) NDA and the regulatory capability behind it</w:t>
            </w:r>
          </w:p>
        </w:tc>
        <w:tc>
          <w:tcPr>
            <w:tcW w:type="dxa" w:w="1930"/>
          </w:tcPr>
          <w:p>
            <w:r>
              <w:rPr>
                <w:sz w:val="17"/>
              </w:rPr>
              <w:t>2029</w:t>
            </w:r>
          </w:p>
        </w:tc>
        <w:tc>
          <w:tcPr>
            <w:tcW w:type="dxa" w:w="1930"/>
          </w:tcPr>
          <w:p>
            <w:r>
              <w:rPr>
                <w:sz w:val="17"/>
              </w:rPr>
              <w:t>SVP Regulatory Affairs</w:t>
            </w:r>
          </w:p>
        </w:tc>
      </w:tr>
      <w:tr>
        <w:tc>
          <w:tcPr>
            <w:tcW w:type="dxa" w:w="1930"/>
          </w:tcPr>
          <w:p>
            <w:r>
              <w:rPr>
                <w:sz w:val="17"/>
              </w:rPr>
              <w:t>B-05</w:t>
            </w:r>
          </w:p>
        </w:tc>
        <w:tc>
          <w:tcPr>
            <w:tcW w:type="dxa" w:w="1930"/>
          </w:tcPr>
          <w:p>
            <w:r>
              <w:rPr>
                <w:sz w:val="17"/>
              </w:rPr>
              <w:t>Platform option value for a second indication</w:t>
            </w:r>
          </w:p>
        </w:tc>
        <w:tc>
          <w:tcPr>
            <w:tcW w:type="dxa" w:w="1930"/>
          </w:tcPr>
          <w:p>
            <w:r>
              <w:rPr>
                <w:sz w:val="17"/>
              </w:rPr>
              <w:t>Safety database and CMC package supporting a future supplemental filing</w:t>
            </w:r>
          </w:p>
        </w:tc>
        <w:tc>
          <w:tcPr>
            <w:tcW w:type="dxa" w:w="1930"/>
          </w:tcPr>
          <w:p>
            <w:r>
              <w:rPr>
                <w:sz w:val="17"/>
              </w:rPr>
              <w:t>2033</w:t>
            </w:r>
          </w:p>
        </w:tc>
        <w:tc>
          <w:tcPr>
            <w:tcW w:type="dxa" w:w="1930"/>
          </w:tcPr>
          <w:p>
            <w:r>
              <w:rPr>
                <w:sz w:val="17"/>
              </w:rPr>
              <w:t>Chief Scientific Officer</w:t>
            </w:r>
          </w:p>
        </w:tc>
      </w:tr>
    </w:tbl>
    <w:p/>
    <w:p>
      <w:r>
        <w:t>Every benefit carries a realization horizon — the first date on which it can honestly be judged — and a named owner who outlives the program. Both were fixed at Gate 4, before anyone knew which would be comfortable to report.</w:t>
      </w:r>
    </w:p>
    <w:p>
      <w:pPr>
        <w:spacing w:before="120"/>
        <w:ind w:left="360"/>
      </w:pPr>
      <w:r>
        <w:rPr>
          <w:i/>
          <w:color w:val="12304A"/>
          <w:sz w:val="20"/>
        </w:rPr>
        <w:t>Why the horizon has to be set in advance. Set at closure, a horizon becomes a negotiation: a benefit that looks weak acquires a longer horizon, and one that looks strong gets assessed immediately. Fixing horizons at authorization removes that discretion entirely, in the same way the Conditions Register fixes a verification method at issue rather than at closure.</w:t>
      </w:r>
    </w:p>
    <w:p>
      <w:pPr>
        <w:spacing w:before="320"/>
      </w:pPr>
      <w:r>
        <w:rPr>
          <w:b/>
          <w:color w:val="12304A"/>
          <w:sz w:val="28"/>
        </w:rPr>
        <w:t>4. Assessment at Closure</w:t>
      </w:r>
    </w:p>
    <w:p>
      <w:pPr>
        <w:spacing w:before="200"/>
      </w:pPr>
      <w:r>
        <w:rPr>
          <w:b/>
          <w:color w:val="2B5F8E"/>
          <w:sz w:val="23"/>
        </w:rPr>
        <w:t>B-01 — Financial return on the development investment</w:t>
      </w:r>
    </w:p>
    <w:p>
      <w:r>
        <w:t>Cannot be assessed at closure. Eight months of revenue against a ten-year case is not evidence about the case. What can be said: Year 1 is tracking 22.5% below plan, and a shortfall in the first year of a ten-year model compounds if the cause is structural rather than timing.</w:t>
      </w:r>
    </w:p>
    <w:p>
      <w:r>
        <w:t>First assessable 2039 · owned by Chief Financial Officer</w:t>
      </w:r>
    </w:p>
    <w:p>
      <w:pPr>
        <w:spacing w:before="200"/>
      </w:pPr>
      <w:r>
        <w:rPr>
          <w:b/>
          <w:color w:val="2B5F8E"/>
          <w:sz w:val="23"/>
        </w:rPr>
        <w:t>B-02 — Patients treated</w:t>
      </w:r>
    </w:p>
    <w:p>
      <w:r>
        <w:t>Partially assessable. 11,600 against 14,200 planned — 18% below. The peak figure depends on access recovery over several formulary cycles and cannot be judged yet.</w:t>
      </w:r>
    </w:p>
    <w:p>
      <w:r>
        <w:t>First assessable 2034 · owned by SVP Market Access</w:t>
      </w:r>
    </w:p>
    <w:p>
      <w:pPr>
        <w:spacing w:before="200"/>
      </w:pPr>
      <w:r>
        <w:rPr>
          <w:b/>
          <w:color w:val="2B5F8E"/>
          <w:sz w:val="23"/>
        </w:rPr>
        <w:t>B-03 — Commercial-scale peptide manufacturing capability</w:t>
      </w:r>
    </w:p>
    <w:p>
      <w:r>
        <w:t>Realized. PPQ complete, pre-approval inspection passed with one closed observation. This capability is reusable by any future peptide program and is the clearest realized benefit in the register.</w:t>
      </w:r>
    </w:p>
    <w:p>
      <w:r>
        <w:t>First assessable 2029 · owned by Chief Quality Officer</w:t>
      </w:r>
    </w:p>
    <w:p>
      <w:pPr>
        <w:spacing w:before="200"/>
      </w:pPr>
      <w:r>
        <w:rPr>
          <w:b/>
          <w:color w:val="2B5F8E"/>
          <w:sz w:val="23"/>
        </w:rPr>
        <w:t>B-04 — First NME approval for the organization</w:t>
      </w:r>
    </w:p>
    <w:p>
      <w:r>
        <w:t>Realized. Approved on the action date with zero major amendments. The organization now has a demonstrated route from IND to approval, which is an institutional asset independent of how VitaFlow performs commercially.</w:t>
      </w:r>
    </w:p>
    <w:p>
      <w:r>
        <w:t>First assessable 2029 · owned by SVP Regulatory Affairs</w:t>
      </w:r>
    </w:p>
    <w:p>
      <w:pPr>
        <w:spacing w:before="200"/>
      </w:pPr>
      <w:r>
        <w:rPr>
          <w:b/>
          <w:color w:val="2B5F8E"/>
          <w:sz w:val="23"/>
        </w:rPr>
        <w:t>B-05 — Platform option value for a second indication</w:t>
      </w:r>
    </w:p>
    <w:p>
      <w:r>
        <w:t>Weakened, not lost. The safety database and manufacturing package transfer intact. But the differentiation thesis that would have supported a premium second indication did not survive Phase 3, so the option is worth materially less than the Gate 4 case assumed.</w:t>
      </w:r>
    </w:p>
    <w:p>
      <w:r>
        <w:t>First assessable 2033 · owned by Chief Scientific Officer</w:t>
      </w:r>
    </w:p>
    <w:p>
      <w:pPr>
        <w:spacing w:before="120"/>
        <w:ind w:left="360"/>
      </w:pPr>
      <w:r>
        <w:rPr>
          <w:i/>
          <w:color w:val="12304A"/>
          <w:sz w:val="20"/>
        </w:rPr>
        <w:t>Two realized, one partial, one weakened, one unassessable. That is a fair and uncomfortable picture, and it is the honest one.</w:t>
      </w:r>
    </w:p>
    <w:p>
      <w:pPr>
        <w:spacing w:before="120"/>
        <w:ind w:left="360"/>
      </w:pPr>
      <w:r>
        <w:rPr>
          <w:i/>
          <w:color w:val="12304A"/>
          <w:sz w:val="20"/>
        </w:rPr>
        <w:t>The two realized benefits — manufacturing capability and regulatory capability — are notable for being institutional rather than commercial. They accrue to the organization regardless of how VitaFlow sells, they are reusable by any future program, and neither appeared anywhere in the Gate 0 investment case. The clearest benefits this program delivered were not the benefits it was funded to deliver.</w:t>
      </w:r>
    </w:p>
    <w:p>
      <w:pPr>
        <w:spacing w:before="320"/>
      </w:pPr>
      <w:r>
        <w:rPr>
          <w:b/>
          <w:color w:val="12304A"/>
          <w:sz w:val="28"/>
        </w:rPr>
        <w:t>5. What Happens to the Unresolved Questions</w:t>
      </w:r>
    </w:p>
    <w:p>
      <w:r>
        <w:t>Three benefits outlive the program. The closure obligation is to hand each to an owner with a date attached, because a benefit with no owner is not tracked and a benefit with no date is never assessed.</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Benefit</w:t>
            </w:r>
          </w:p>
        </w:tc>
        <w:tc>
          <w:tcPr>
            <w:tcW w:type="dxa" w:w="2412"/>
          </w:tcPr>
          <w:p>
            <w:r>
              <w:rPr>
                <w:b/>
                <w:sz w:val="17"/>
              </w:rPr>
              <w:t>Owner after closure</w:t>
            </w:r>
          </w:p>
        </w:tc>
        <w:tc>
          <w:tcPr>
            <w:tcW w:type="dxa" w:w="2412"/>
          </w:tcPr>
          <w:p>
            <w:r>
              <w:rPr>
                <w:b/>
                <w:sz w:val="17"/>
              </w:rPr>
              <w:t>Must be reported</w:t>
            </w:r>
          </w:p>
        </w:tc>
        <w:tc>
          <w:tcPr>
            <w:tcW w:type="dxa" w:w="2412"/>
          </w:tcPr>
          <w:p>
            <w:r>
              <w:rPr>
                <w:b/>
                <w:sz w:val="17"/>
              </w:rPr>
              <w:t>To whom</w:t>
            </w:r>
          </w:p>
        </w:tc>
      </w:tr>
      <w:tr>
        <w:tc>
          <w:tcPr>
            <w:tcW w:type="dxa" w:w="2412"/>
          </w:tcPr>
          <w:p>
            <w:r>
              <w:rPr>
                <w:sz w:val="17"/>
              </w:rPr>
              <w:t>B-01 Financial return</w:t>
            </w:r>
          </w:p>
        </w:tc>
        <w:tc>
          <w:tcPr>
            <w:tcW w:type="dxa" w:w="2412"/>
          </w:tcPr>
          <w:p>
            <w:r>
              <w:rPr>
                <w:sz w:val="17"/>
              </w:rPr>
              <w:t>Chief Financial Officer</w:t>
            </w:r>
          </w:p>
        </w:tc>
        <w:tc>
          <w:tcPr>
            <w:tcW w:type="dxa" w:w="2412"/>
          </w:tcPr>
          <w:p>
            <w:r>
              <w:rPr>
                <w:sz w:val="17"/>
              </w:rPr>
              <w:t>Annually from 2031; full assessment 2039</w:t>
            </w:r>
          </w:p>
        </w:tc>
        <w:tc>
          <w:tcPr>
            <w:tcW w:type="dxa" w:w="2412"/>
          </w:tcPr>
          <w:p>
            <w:r>
              <w:rPr>
                <w:sz w:val="17"/>
              </w:rPr>
              <w:t>Board</w:t>
            </w:r>
          </w:p>
        </w:tc>
      </w:tr>
      <w:tr>
        <w:tc>
          <w:tcPr>
            <w:tcW w:type="dxa" w:w="2412"/>
          </w:tcPr>
          <w:p>
            <w:r>
              <w:rPr>
                <w:sz w:val="17"/>
              </w:rPr>
              <w:t>B-02 Patients treated</w:t>
            </w:r>
          </w:p>
        </w:tc>
        <w:tc>
          <w:tcPr>
            <w:tcW w:type="dxa" w:w="2412"/>
          </w:tcPr>
          <w:p>
            <w:r>
              <w:rPr>
                <w:sz w:val="17"/>
              </w:rPr>
              <w:t>SVP Market Access</w:t>
            </w:r>
          </w:p>
        </w:tc>
        <w:tc>
          <w:tcPr>
            <w:tcW w:type="dxa" w:w="2412"/>
          </w:tcPr>
          <w:p>
            <w:r>
              <w:rPr>
                <w:sz w:val="17"/>
              </w:rPr>
              <w:t>Quarterly through 2032, then annually</w:t>
            </w:r>
          </w:p>
        </w:tc>
        <w:tc>
          <w:tcPr>
            <w:tcW w:type="dxa" w:w="2412"/>
          </w:tcPr>
          <w:p>
            <w:r>
              <w:rPr>
                <w:sz w:val="17"/>
              </w:rPr>
              <w:t>Commercial leadership</w:t>
            </w:r>
          </w:p>
        </w:tc>
      </w:tr>
      <w:tr>
        <w:tc>
          <w:tcPr>
            <w:tcW w:type="dxa" w:w="2412"/>
          </w:tcPr>
          <w:p>
            <w:r>
              <w:rPr>
                <w:sz w:val="17"/>
              </w:rPr>
              <w:t>B-05 Platform option value</w:t>
            </w:r>
          </w:p>
        </w:tc>
        <w:tc>
          <w:tcPr>
            <w:tcW w:type="dxa" w:w="2412"/>
          </w:tcPr>
          <w:p>
            <w:r>
              <w:rPr>
                <w:sz w:val="17"/>
              </w:rPr>
              <w:t>Chief Scientific Officer</w:t>
            </w:r>
          </w:p>
        </w:tc>
        <w:tc>
          <w:tcPr>
            <w:tcW w:type="dxa" w:w="2412"/>
          </w:tcPr>
          <w:p>
            <w:r>
              <w:rPr>
                <w:sz w:val="17"/>
              </w:rPr>
              <w:t>At the next portfolio review</w:t>
            </w:r>
          </w:p>
        </w:tc>
        <w:tc>
          <w:tcPr>
            <w:tcW w:type="dxa" w:w="2412"/>
          </w:tcPr>
          <w:p>
            <w:r>
              <w:rPr>
                <w:sz w:val="17"/>
              </w:rPr>
              <w:t>Development Committee successor</w:t>
            </w:r>
          </w:p>
        </w:tc>
      </w:tr>
    </w:tbl>
    <w:p/>
    <w:p>
      <w:pPr>
        <w:spacing w:before="120"/>
        <w:ind w:left="360"/>
      </w:pPr>
      <w:r>
        <w:rPr>
          <w:i/>
          <w:color w:val="12304A"/>
          <w:sz w:val="20"/>
        </w:rPr>
        <w:t>This is the weakest link in benefits practice everywhere, including here. The handover is recorded, the owners are named, the dates are set — and the Development Committee that would have enforced it dissolves at closure.</w:t>
      </w:r>
    </w:p>
    <w:p>
      <w:pPr>
        <w:spacing w:before="120"/>
        <w:ind w:left="360"/>
      </w:pPr>
      <w:r>
        <w:rPr>
          <w:i/>
          <w:color w:val="12304A"/>
          <w:sz w:val="20"/>
        </w:rPr>
        <w:t>What actually enforces a post-closure benefit obligation is the receiving governance body's willingness to ask for it. If the portfolio review in 2031 does not call for B-01, nothing in this document compels it. A closure report can assign an obligation; it cannot create the authority to enforce one. Naming that limitation is more useful than pretending the handover is self-executing.</w:t>
      </w:r>
    </w:p>
    <w:p>
      <w:pPr>
        <w:spacing w:before="320"/>
      </w:pPr>
      <w:r>
        <w:rPr>
          <w:b/>
          <w:color w:val="12304A"/>
          <w:sz w:val="28"/>
        </w:rPr>
        <w:t>6. What Can Honestly Be Said Today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Question</w:t>
            </w:r>
          </w:p>
        </w:tc>
        <w:tc>
          <w:tcPr>
            <w:tcW w:type="dxa" w:w="4824"/>
          </w:tcPr>
          <w:p>
            <w:r>
              <w:rPr>
                <w:b/>
                <w:sz w:val="17"/>
              </w:rPr>
              <w:t>Honest answer</w:t>
            </w:r>
          </w:p>
        </w:tc>
      </w:tr>
      <w:tr>
        <w:tc>
          <w:tcPr>
            <w:tcW w:type="dxa" w:w="4824"/>
          </w:tcPr>
          <w:p>
            <w:r>
              <w:rPr>
                <w:sz w:val="17"/>
              </w:rPr>
              <w:t>Did the program deliver what it was funded to build?</w:t>
            </w:r>
          </w:p>
        </w:tc>
        <w:tc>
          <w:tcPr>
            <w:tcW w:type="dxa" w:w="4824"/>
          </w:tcPr>
          <w:p>
            <w:r>
              <w:rPr>
                <w:sz w:val="17"/>
              </w:rPr>
              <w:t>Yes — approved product, validated process, launched on the authorized date, closed under ceiling.</w:t>
            </w:r>
          </w:p>
        </w:tc>
      </w:tr>
      <w:tr>
        <w:tc>
          <w:tcPr>
            <w:tcW w:type="dxa" w:w="4824"/>
          </w:tcPr>
          <w:p>
            <w:r>
              <w:rPr>
                <w:sz w:val="17"/>
              </w:rPr>
              <w:t>Is the investment returning as modeled?</w:t>
            </w:r>
          </w:p>
        </w:tc>
        <w:tc>
          <w:tcPr>
            <w:tcW w:type="dxa" w:w="4824"/>
          </w:tcPr>
          <w:p>
            <w:r>
              <w:rPr>
                <w:sz w:val="17"/>
              </w:rPr>
              <w:t>Unknown, and unknowable today. Eight months against a ten-year case.</w:t>
            </w:r>
          </w:p>
        </w:tc>
      </w:tr>
      <w:tr>
        <w:tc>
          <w:tcPr>
            <w:tcW w:type="dxa" w:w="4824"/>
          </w:tcPr>
          <w:p>
            <w:r>
              <w:rPr>
                <w:sz w:val="17"/>
              </w:rPr>
              <w:t>Is early evidence consistent with the model?</w:t>
            </w:r>
          </w:p>
        </w:tc>
        <w:tc>
          <w:tcPr>
            <w:tcW w:type="dxa" w:w="4824"/>
          </w:tcPr>
          <w:p>
            <w:r>
              <w:rPr>
                <w:sz w:val="17"/>
              </w:rPr>
              <w:t>No. Year 1 revenue tracking 22.5% below plan, driven by access and price rather than demand.</w:t>
            </w:r>
          </w:p>
        </w:tc>
      </w:tr>
      <w:tr>
        <w:tc>
          <w:tcPr>
            <w:tcW w:type="dxa" w:w="4824"/>
          </w:tcPr>
          <w:p>
            <w:r>
              <w:rPr>
                <w:sz w:val="17"/>
              </w:rPr>
              <w:t>Does that early evidence invalidate the case?</w:t>
            </w:r>
          </w:p>
        </w:tc>
        <w:tc>
          <w:tcPr>
            <w:tcW w:type="dxa" w:w="4824"/>
          </w:tcPr>
          <w:p>
            <w:r>
              <w:rPr>
                <w:sz w:val="17"/>
              </w:rPr>
              <w:t>Not yet. A ten-year model tolerates a slow first year. It does not tolerate a permanently impaired access position, and which of those this is cannot be determined for several formulary cycles.</w:t>
            </w:r>
          </w:p>
        </w:tc>
      </w:tr>
      <w:tr>
        <w:tc>
          <w:tcPr>
            <w:tcW w:type="dxa" w:w="4824"/>
          </w:tcPr>
          <w:p>
            <w:r>
              <w:rPr>
                <w:sz w:val="17"/>
              </w:rPr>
              <w:t>Were the benefits well specified at Gate 4?</w:t>
            </w:r>
          </w:p>
        </w:tc>
        <w:tc>
          <w:tcPr>
            <w:tcW w:type="dxa" w:w="4824"/>
          </w:tcPr>
          <w:p>
            <w:r>
              <w:rPr>
                <w:sz w:val="17"/>
              </w:rPr>
              <w:t>Partly. The financial benefit was precise. The capability benefits that actually realized were never written down as benefits at all.</w:t>
            </w:r>
          </w:p>
        </w:tc>
      </w:tr>
    </w:tbl>
    <w:p/>
    <w:p>
      <w:pPr>
        <w:spacing w:before="120"/>
        <w:ind w:left="360"/>
      </w:pPr>
      <w:r>
        <w:rPr>
          <w:i/>
          <w:color w:val="12304A"/>
          <w:sz w:val="20"/>
        </w:rPr>
        <w:t>If one finding here survives into the next program, it should be this one. B-03 and B-04 — commercial manufacturing capability and a demonstrated IND-to-approval route — are the only two benefits this program can currently prove it delivered. Neither was in the Gate 0 investment case. They were added to the register at Gate 4, three years in, by someone who noticed the program was building something durable that nobody had claimed credit for.</w:t>
      </w:r>
    </w:p>
    <w:p>
      <w:pPr>
        <w:spacing w:before="120"/>
        <w:ind w:left="360"/>
      </w:pPr>
      <w:r>
        <w:rPr>
          <w:i/>
          <w:color w:val="12304A"/>
          <w:sz w:val="20"/>
        </w:rPr>
        <w:t>A benefits register that only counts money will systematically miss the capability a program leaves behind — which, for a first-in-organization program, is frequently the larger and more certain return.</w:t>
      </w:r>
    </w:p>
    <w:p>
      <w:pPr>
        <w:spacing w:before="320"/>
      </w:pPr>
      <w:r>
        <w:rPr>
          <w:b/>
          <w:color w:val="12304A"/>
          <w:sz w:val="28"/>
        </w:rPr>
        <w:t>7. Why Benefits Plans Fail</w:t>
      </w:r>
    </w:p>
    <w:p>
      <w:pPr>
        <w:pStyle w:val="ListBullet"/>
      </w:pPr>
      <w:r>
        <w:t>They are written to be reported on at closure, when almost nothing is yet observable. Horizons must be honest even when that means reporting nothing.</w:t>
      </w:r>
    </w:p>
    <w:p>
      <w:pPr>
        <w:pStyle w:val="ListBullet"/>
      </w:pPr>
      <w:r>
        <w:t>They confuse outputs with benefits, because outputs are available and benefits are not.</w:t>
      </w:r>
    </w:p>
    <w:p>
      <w:pPr>
        <w:pStyle w:val="ListBullet"/>
      </w:pPr>
      <w:r>
        <w:t>They have no owner after the program ends — or an owner but no date, or a date but no receiving body obliged to ask.</w:t>
      </w:r>
    </w:p>
    <w:p>
      <w:pPr>
        <w:pStyle w:val="ListBullet"/>
      </w:pPr>
      <w:r>
        <w:t>They lack a baseline. A benefit is a change from something, and the something is frequently never measured before the program starts.</w:t>
      </w:r>
    </w:p>
    <w:p>
      <w:pPr>
        <w:pStyle w:val="ListBullet"/>
      </w:pPr>
      <w:r>
        <w:t>They count only what was forecast. This program's most certain benefits were never forecast at all.</w:t>
      </w:r>
    </w:p>
    <w:p>
      <w:pPr>
        <w:spacing w:before="120"/>
        <w:ind w:left="360"/>
      </w:pPr>
      <w:r>
        <w:rPr>
          <w:i/>
          <w:color w:val="12304A"/>
          <w:sz w:val="20"/>
        </w:rPr>
        <w:t>The one structural fix that works. Fix the horizon and the owner at authorization, in the same document that releases the money, and require the receiving governance body to accept the obligation in writing before the program closes.</w:t>
      </w:r>
    </w:p>
    <w:p>
      <w:pPr>
        <w:spacing w:before="120"/>
        <w:ind w:left="360"/>
      </w:pPr>
      <w:r>
        <w:rPr>
          <w:i/>
          <w:color w:val="12304A"/>
          <w:sz w:val="20"/>
        </w:rPr>
        <w:t>It does not guarantee the benefit will be tracked. It does guarantee that failing to track it is a visible omission by a named party, rather than something that quietly did not happen.</w:t>
      </w:r>
    </w:p>
    <w:p>
      <w:r>
        <w:t>Assessed against its own five points, this register does four of them. It has honest horizons, it separates outputs from benefits, it names owners and dates, and it counts unforecast benefits. It has no baseline for B-02 — nobody measured how many patients in the eligible population were receiving any pharmacotherapy before launch, so “patients treated” can only ever be reported as an absolute number and never as a change. That gap is recorded here rather than quietly tolerated.</w:t>
      </w:r>
    </w:p>
    <w:p>
      <w:pPr>
        <w:spacing w:before="320"/>
      </w:pPr>
      <w:r>
        <w:rPr>
          <w:b/>
          <w:color w:val="12304A"/>
          <w:sz w:val="28"/>
        </w:rPr>
        <w:t>8. Disbenefits</w:t>
      </w:r>
    </w:p>
    <w:p>
      <w:r>
        <w:t>A benefits register that records only benefits is a sales document. A disbenefit is an outcome of the program that is negative, foreseeable, and accepted anyway — it is not a risk, because a risk might not happen, and it is not an issue, because nobody intends to resolve it. It is a cost the organization agreed to carry in exchange for the benefits above, and it belongs in the same register so that the exchange is visible.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Disbenefit</w:t>
            </w:r>
          </w:p>
        </w:tc>
        <w:tc>
          <w:tcPr>
            <w:tcW w:type="dxa" w:w="2412"/>
          </w:tcPr>
          <w:p>
            <w:r>
              <w:rPr>
                <w:b/>
                <w:sz w:val="17"/>
              </w:rPr>
              <w:t>Accepted at</w:t>
            </w:r>
          </w:p>
        </w:tc>
        <w:tc>
          <w:tcPr>
            <w:tcW w:type="dxa" w:w="2412"/>
          </w:tcPr>
          <w:p>
            <w:r>
              <w:rPr>
                <w:b/>
                <w:sz w:val="17"/>
              </w:rPr>
              <w:t>Assessment at closure</w:t>
            </w:r>
          </w:p>
        </w:tc>
      </w:tr>
      <w:tr>
        <w:tc>
          <w:tcPr>
            <w:tcW w:type="dxa" w:w="2412"/>
          </w:tcPr>
          <w:p>
            <w:r>
              <w:rPr>
                <w:sz w:val="17"/>
              </w:rPr>
              <w:t>D-B1</w:t>
            </w:r>
          </w:p>
        </w:tc>
        <w:tc>
          <w:tcPr>
            <w:tcW w:type="dxa" w:w="2412"/>
          </w:tcPr>
          <w:p>
            <w:r>
              <w:rPr>
                <w:sz w:val="17"/>
              </w:rPr>
              <w:t>Opportunity cost of the development portfolio. $243.0M committed over 8 years to one asset is capital and specialist capacity not available to the rest of the pipeline.</w:t>
            </w:r>
          </w:p>
        </w:tc>
        <w:tc>
          <w:tcPr>
            <w:tcW w:type="dxa" w:w="2412"/>
          </w:tcPr>
          <w:p>
            <w:r>
              <w:rPr>
                <w:sz w:val="17"/>
              </w:rPr>
              <w:t>Gate 0, explicitly, in the portfolio review that authorized the program</w:t>
            </w:r>
          </w:p>
        </w:tc>
        <w:tc>
          <w:tcPr>
            <w:tcW w:type="dxa" w:w="2412"/>
          </w:tcPr>
          <w:p>
            <w:r>
              <w:rPr>
                <w:sz w:val="17"/>
              </w:rPr>
              <w:t>Realized in full. Two early-stage programs were deferred in Stage 4 when the Phase 3 cost profile was confirmed.</w:t>
            </w:r>
          </w:p>
        </w:tc>
      </w:tr>
      <w:tr>
        <w:tc>
          <w:tcPr>
            <w:tcW w:type="dxa" w:w="2412"/>
          </w:tcPr>
          <w:p>
            <w:r>
              <w:rPr>
                <w:sz w:val="17"/>
              </w:rPr>
              <w:t>D-B2</w:t>
            </w:r>
          </w:p>
        </w:tc>
        <w:tc>
          <w:tcPr>
            <w:tcW w:type="dxa" w:w="2412"/>
          </w:tcPr>
          <w:p>
            <w:r>
              <w:rPr>
                <w:sz w:val="17"/>
              </w:rPr>
              <w:t>Price precedent. The net price conceded to secure formulary position sets a reference point for subsequent negotiations in the same class.</w:t>
            </w:r>
          </w:p>
        </w:tc>
        <w:tc>
          <w:tcPr>
            <w:tcW w:type="dxa" w:w="2412"/>
          </w:tcPr>
          <w:p>
            <w:r>
              <w:rPr>
                <w:sz w:val="17"/>
              </w:rPr>
              <w:t>Not accepted in advance — this one arrived unplanned, which is why it appears here rather than in the Gate 4 case</w:t>
            </w:r>
          </w:p>
        </w:tc>
        <w:tc>
          <w:tcPr>
            <w:tcW w:type="dxa" w:w="2412"/>
          </w:tcPr>
          <w:p>
            <w:r>
              <w:rPr>
                <w:sz w:val="17"/>
              </w:rPr>
              <w:t>Realized and durable. A concession made without a differentiating claim sets a floor the product does not recover from within the exclusivity period.</w:t>
            </w:r>
          </w:p>
        </w:tc>
      </w:tr>
      <w:tr>
        <w:tc>
          <w:tcPr>
            <w:tcW w:type="dxa" w:w="2412"/>
          </w:tcPr>
          <w:p>
            <w:r>
              <w:rPr>
                <w:sz w:val="17"/>
              </w:rPr>
              <w:t>D-B3</w:t>
            </w:r>
          </w:p>
        </w:tc>
        <w:tc>
          <w:tcPr>
            <w:tcW w:type="dxa" w:w="2412"/>
          </w:tcPr>
          <w:p>
            <w:r>
              <w:rPr>
                <w:sz w:val="17"/>
              </w:rPr>
              <w:t>Sustained diversion of scarce regulatory and quality capacity. The same small functions that carried this filing support every other submission in the company.</w:t>
            </w:r>
          </w:p>
        </w:tc>
        <w:tc>
          <w:tcPr>
            <w:tcW w:type="dxa" w:w="2412"/>
          </w:tcPr>
          <w:p>
            <w:r>
              <w:rPr>
                <w:sz w:val="17"/>
              </w:rPr>
              <w:t>Gate 3, when the Phase 3 design was fixed</w:t>
            </w:r>
          </w:p>
        </w:tc>
        <w:tc>
          <w:tcPr>
            <w:tcW w:type="dxa" w:w="2412"/>
          </w:tcPr>
          <w:p>
            <w:r>
              <w:rPr>
                <w:sz w:val="17"/>
              </w:rPr>
              <w:t>Realized. Absorbed without a compliance consequence, which is the outcome the capacity plan was aiming at rather than a happy accident.</w:t>
            </w:r>
          </w:p>
        </w:tc>
      </w:tr>
      <w:tr>
        <w:tc>
          <w:tcPr>
            <w:tcW w:type="dxa" w:w="2412"/>
          </w:tcPr>
          <w:p>
            <w:r>
              <w:rPr>
                <w:sz w:val="17"/>
              </w:rPr>
              <w:t>D-B4</w:t>
            </w:r>
          </w:p>
        </w:tc>
        <w:tc>
          <w:tcPr>
            <w:tcW w:type="dxa" w:w="2412"/>
          </w:tcPr>
          <w:p>
            <w:r>
              <w:rPr>
                <w:sz w:val="17"/>
              </w:rPr>
              <w:t>Organizational expectation. A program that reaches approval sets an internal precedent for what a development program looks like, including the parts of it that did not work.</w:t>
            </w:r>
          </w:p>
        </w:tc>
        <w:tc>
          <w:tcPr>
            <w:tcW w:type="dxa" w:w="2412"/>
          </w:tcPr>
          <w:p>
            <w:r>
              <w:rPr>
                <w:sz w:val="17"/>
              </w:rPr>
              <w:t>Not accepted anywhere — recorded here because it is real and unowned</w:t>
            </w:r>
          </w:p>
        </w:tc>
        <w:tc>
          <w:tcPr>
            <w:tcW w:type="dxa" w:w="2412"/>
          </w:tcPr>
          <w:p>
            <w:r>
              <w:rPr>
                <w:sz w:val="17"/>
              </w:rPr>
              <w:t>Unassessable. This is the disbenefit the closure report can name and cannot assign.</w:t>
            </w:r>
          </w:p>
        </w:tc>
      </w:tr>
    </w:tbl>
    <w:p/>
    <w:p>
      <w:pPr>
        <w:spacing w:before="120"/>
        <w:ind w:left="360"/>
      </w:pPr>
      <w:r>
        <w:rPr>
          <w:i/>
          <w:color w:val="12304A"/>
          <w:sz w:val="20"/>
        </w:rPr>
        <w:t>Three of these four were foreseeable at Gate 0 and only one was written down there.</w:t>
      </w:r>
    </w:p>
    <w:p>
      <w:pPr>
        <w:spacing w:before="120"/>
        <w:ind w:left="360"/>
      </w:pPr>
      <w:r>
        <w:rPr>
          <w:i/>
          <w:color w:val="12304A"/>
          <w:sz w:val="20"/>
        </w:rPr>
        <w:t>That ratio is the honest finding of this section. The Gate 0 business case recorded opportunity cost because opportunity cost has a number and a register. It did not record price precedent, capacity diversion or precedent-setting, because none of those had an owner, a measurement method or a place to be written.</w:t>
      </w:r>
    </w:p>
    <w:p>
      <w:pPr>
        <w:spacing w:before="120"/>
        <w:ind w:left="360"/>
      </w:pPr>
      <w:r>
        <w:rPr>
          <w:i/>
          <w:color w:val="12304A"/>
          <w:sz w:val="20"/>
        </w:rPr>
        <w:t>What gets a register gets attention, and what gets attention gets managed. Everything else relies on somebody happening to notice. The benefit side of this program was reviewed at six gates over 8 years. The disbenefit side was reviewed at none, because until this document there was nowhere to review it.</w:t>
      </w:r>
    </w:p>
    <w:p>
      <w:r>
        <w:t>The recommendation that follows is narrow and is made in the closure report rather than here: a benefits register template that has no disbenefit section will not grow one, because nobody adds a column to record something unwelcome. It has to be in the template at authorization, when there is nothing unwelcome to put in it yet.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