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5F8E"/>
          <w:sz w:val="16"/>
        </w:rPr>
        <w:t>RISK &amp; CONTROL · VITALIS THERAPEUTICS INC.</w:t>
      </w:r>
    </w:p>
    <w:p>
      <w:r>
        <w:rPr>
          <w:b/>
          <w:color w:val="12304A"/>
          <w:sz w:val="44"/>
        </w:rPr>
        <w:t>Change Request Records</w:t>
      </w:r>
    </w:p>
    <w:p>
      <w:r>
        <w:rPr>
          <w:i/>
          <w:color w:val="6B7280"/>
          <w:sz w:val="17"/>
        </w:rPr>
        <w:t>Vitalis Therapeutics Inc. · VitaFlow (VTX-401) · Change Request Records · status 15 October 2026. Fictional program.</w:t>
      </w:r>
    </w:p>
    <w:p/>
    <w:p>
      <w:pPr>
        <w:spacing w:before="320"/>
      </w:pPr>
      <w:r>
        <w:rPr>
          <w:b/>
          <w:color w:val="12304A"/>
          <w:sz w:val="28"/>
        </w:rPr>
        <w:t>About These Records</w:t>
      </w:r>
    </w:p>
    <w:p>
      <w:r>
        <w:t>Six change requests reached the Development Committee. This holds the full form behind each one; the Change Control Register summarizes them and links here.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  <w:sz w:val="17"/>
              </w:rPr>
              <w:t>Ref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Change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Outcome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CR-01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an Asian-population cohort to Phase 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Approved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CR-02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 cardiovascular outcomes sub-study to Phase 3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Approved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CR-D1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 head-to-head comparative tolerability trial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Extend Phase 3 to a third pivotal in an adolescent population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CR-D3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Switch the primary endpoint to proportion achieving ≥10% reduction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CR-D4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Qualify a second contract manufacturer for drug product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Every record states the option of not doing it, and the build fails if one does not.</w:t>
      </w:r>
    </w:p>
    <w:p>
      <w:pPr>
        <w:spacing w:before="120"/>
        <w:ind w:left="360"/>
      </w:pPr>
      <w:r>
        <w:rPr>
          <w:i/>
          <w:color w:val="12304A"/>
          <w:sz w:val="20"/>
        </w:rPr>
        <w:t>A change request without a do-nothing option is a proposal wearing a change request's clothes. It presents a decision that has already been made and asks for ratification, and a Committee reading it has nothing to weigh the proposal against.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same applies to the impact assessment: all six dimensions — cost, schedule, scope, quality, risk and resource — are required on every record, including the ones where the honest answer is “none”. A blank is indistinguishable from a dimension nobody thought about.</w:t>
      </w:r>
    </w:p>
    <w:p>
      <w:r>
        <w:t>The two declined records with the most weight are CR-D1, the head-to-head trial that would have generated the comparative evidence the program now lacks, and CR-D4, the second manufacturer declined three weeks after the method transfer failed. Both were declined for defensible reasons that are stated in full.</w:t>
      </w:r>
    </w:p>
    <w:p>
      <w:pPr>
        <w:spacing w:before="320"/>
      </w:pPr>
      <w:r>
        <w:rPr>
          <w:b/>
          <w:color w:val="12304A"/>
          <w:sz w:val="28"/>
        </w:rPr>
        <w:t>CR-01 — Add an Asian-population cohort to Phase 2</w:t>
      </w:r>
    </w:p>
    <w:p>
      <w:r>
        <w:t>Approved Raised by Dr. P. Raghunathan, SVP Regulatory Affairs on 2024-08-22 · decided 2024-10-09 · authority tier 4 (Development Committee) · status: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Add 50 participants of East Asian ancestry to the Phase 2 dose-ranging study, enrolled at two additional sites, with the same protocol, endpoints and visit schedule as the existing cohort.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Regional regulators increasingly expect ethnic-sensitivity data for a systemic agent before accepting a foreign dossier. Generating it inside Phase 2 is far cheaper than a standalone bridging study later.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Touches T-10 only (indication population). No endpoint, analysis or claim changes. ⚠ Verified against the traceability matrix before routing.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Approved by the Development Committee. Funded from contingency; ceiling unchanged.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Both sites activated and the cohort fully enrolled before the Phase 2 enrolment window closed 31 December 2024. Request closed.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Accept a probable bridging-study requirement at the point of any future EU or Asia-Pacific filing. Cost deferred, not avoided, and on a worse timeline.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Add the cohort to Phase 2 (recommended)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Enrolment is open; marginal cost per participant; no protocol amendment to the endpoints.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Add it to Phase 3 instead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Rejected. Phase 3 is powered for efficacy; adding a sub-population there complicates the analysis of the primary endpoint for no additional benefit.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$1,900,000, within contingency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 — enrolment window absorbs it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Population widened; endpoints unchanged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Reduces a future regulatory risk; adds no new 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Two additional sites for Clinical Operations to activate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CR-02 — Add a cardiovascular outcomes sub-study to Phase 3</w:t>
      </w:r>
    </w:p>
    <w:p>
      <w:r>
        <w:t>Approved Raised by Dr. A. Okoye, Chief Medical Officer on 2026-02-16 · decided 2026-04-20 · authority tier 4 (Development Committee) · status: Approved — implementation in progress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Nest a 640-participant cardiovascular outcomes sub-study within Pivotal 301, with its own endpoint set, its own statistical analysis and a standalone clinical study report.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 cardiovascular outcomes post-marketing requirement is likely to be imposed at approval for a systemic agent in this class. Generating the data during Phase 3 pre-empts it, and a PMR imposed at approval must be completed on the agency's timetable rather than the sponsor's.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Creates an entirely new chain (T-09) end to end — new endpoint, separate analysis, standalone CSR, §5 label target — without touching any existing chain. This is why it was tractable eighteen months into Phase 3.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Approved by the Development Committee, 20 April 2026. Held as work package 1.6.5, not absorbed into the Phase 3 clinical account.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Sub-study protocol issued to the Data Monitoring Committee 12 August 2026, closing gate condition GC-02 on 25 September 2026.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Accept a probable PMR. Post-approval studies are run under regulatory deadline, cost more, and a missed PMR deadline is a compliance matter rather than a program one.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Nest the sub-study in Pivotal 301 (recommended)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Shares infrastructure, sites and participants. Held as a discrete work package so its cost stays visible.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a standalone CV outcomes trial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Rejected. Roughly four times the cost and it would not complete before the filing date.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$6,400,000 from contingency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Six months added to the Phase 3 window; float absorbed it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New endpoint set, new analysis, standalone CSR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Additional DMC review scope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Retires a post-marketing exposure; adds execution risk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Biostatistics and Clinical Development capacity in Stage 4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CR-D1 — Add a head-to-head comparative tolerability trial</w:t>
      </w:r>
    </w:p>
    <w:p>
      <w:r>
        <w:t>Declined Raised by J. Barrington, SVP Market Access on 2025-09-30 · decided 2025-11-14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dedicated randomized trial against the leading approved comparator, powered on gastrointestinal-attributed discontinuation, to support a comparative tolerability claim.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Payers ask for comparative effectiveness first. The program has no head-to-head data and an indirect comparison is materially weaker — a fact every payer understands.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have created a direct, dedicated chain for T-04 rather than leaving it dependent on three endpoints above it in the hierarchy.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Declined by the Development Committee. Cost outside contingency; the schedule cost fell on patent life; and the tolerability endpoint was already positioned to generate the data within Phase 3.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applicable. ⚠⚠ Recorded in full because it is the program's largest what-if: positioned to produce and able to claim turned out to be different things.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Rely on the tolerability endpoint already positioned in the Phase 3 hierarchy, and construct an indirect comparison for payers.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the head-to-head trial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~$34,000,000 and roughly eighteen months. The eighteen months come off commercial life at the far end, against a patent expiring on a fixed date.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it post-approval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Too late for the first formulary cycle, which is the decision that matters most.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$34,000,000 — outside contingency; a ceiling matter for the Board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~18 months, directly against patent life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new trial, not an extension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Would have retired the differentiation risk (R-04, R-06)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second clinical operations team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CR-D2 — Extend Phase 3 to a third pivotal in an adolescent population</w:t>
      </w:r>
    </w:p>
    <w:p>
      <w:r>
        <w:t>Declined Raised by Dr. A. Okoye, Chief Medical Officer on 2025-12-08 · decided 2026-02-03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third pivotal trial in participants aged 12–17, run concurrently with the adult pivotals.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Pediatric obligations under PREA, and a possible earlier pediatric indication.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 new chain. The adolescent population is out of the sought indication.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Declined. The obligation is deferred and the deferred study is the route to pediatric exclusivity — running it early forfeits nothing and costs both.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 — no implementation to verify. ⚠ The obligation it would have discharged early is tracked instead as PMR-1 in the post-marketing register, with a final report due 2034.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The agreed iPSP satisfies PREA with a post-approval deferral. PMR-1 covers ages 12–17 with a final report due 2034.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it now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Adds cost and calendar to satisfy an obligation already deferred, and adolescent enrolment is materially slower.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~$18,000,000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12+ months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third pivotal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Adds enrolment risk to a program already dependent on adult enrolment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Beyond current Clinical Operations capacity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CR-D3 — Switch the primary endpoint to proportion achieving ≥10% reduction</w:t>
      </w:r>
    </w:p>
    <w:p>
      <w:r>
        <w:t>Declined Raised by Dr. F. Achterberg, Biostatistics and Data Management on 2025-12-19 · decided 2026-01-20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Promote the ≥10% responder endpoint from key secondary to co-primary, replacing the ≥5% responder co-primary.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≥10% threshold is more clinically meaningful and more marketable, and the Phase 2 data suggest it is achievable.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reorder T-01, T-02 and T-03 — the testing hierarchy is shared state, so a change to one position moves every position below it.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Declined. The endpoint is already collected and reported as a key secondary at hierarchy position 3; promoting it buys marketing language at the cost of regulatory certainty.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 — no implementation to verify. ⚠ The endpoint remains collected and reported at hierarchy position 3, so the data this request wanted to promote is generated either way.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Retain the co-primaries agreed at End-of-Phase-2.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Promote ≥10% to co-primary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Reopens a question settled with the agency at EOP2. A sponsor changing an agreed co-primary after alignment invites a new discussion and signals the original agreement was not carefully made.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Minimal directly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Potential Type C meeting, 75 days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Endpoint definitions and the SAP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Reopens regulatory alignment; risks the efficacy claim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Biostatistics re-analysis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CR-D4 — Qualify a second contract manufacturer for drug product</w:t>
      </w:r>
    </w:p>
    <w:p>
      <w:r>
        <w:t>Declined Raised by Dr. K. Oyelaran, Technical Operations / CMC on 2026-03-16 · decided 2026-04-28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Technology transfer to a second contract manufacturer, with full process validation, to remove the single-source dependency on Aldergate.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Raised three weeks after the analytical method transfer failed acceptance at Aldergate (issue I-02). Single-source risk had stopped being theoretical.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 chain affected. This is a supply-continuity change, not an evidence change.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Declined. Recorded in the RAID log as an accepted single-source risk, with the technology-transfer clause as the standing remedy.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applicable. ⚠ Method 2 re-qualified 28 Aug 2026 and method 3 re-run 30 Sep 2026, which is what the decision was betting on.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Carry the single-source risk explicitly, and rely on the unexercised technology-transfer clause negotiated at award.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Qualify a second manufacturer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Technology transfer, a second validation and a second pre-approval inspection — roughly two years against a filing date that does not move.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Dual-source drug substance only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Partial protection, most of the cost, and ⚠ comparability between two substance sources is itself a regulatory exercise. An unresolved comparability question at filing is worse than the single-source risk.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~$22,000,000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~24 months — beyond the filing date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second validated supply chain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 second inspection exposure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retire a named risk and create a comparability 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CMC capacity already committed to PPQ</w:t>
            </w:r>
          </w:p>
        </w:tc>
      </w:tr>
    </w:tbl>
    <w:p/>
    <w:p>
      <w:r>
        <w:t>← back to the register</w:t>
      </w:r>
    </w:p>
    <w:sectPr w:rsidR="00FC693F" w:rsidRPr="0006063C" w:rsidSect="0003461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