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CHEMISTRY, MANUFACTURING &amp; CONTROLS · VITALIS THERAPEUTICS INC.</w:t>
      </w:r>
    </w:p>
    <w:p>
      <w:r>
        <w:rPr>
          <w:b/>
          <w:color w:val="12304A"/>
          <w:sz w:val="44"/>
        </w:rPr>
        <w:t>CMC Readiness Assessment</w:t>
      </w:r>
    </w:p>
    <w:p>
      <w:r>
        <w:rPr>
          <w:i/>
          <w:color w:val="6B7280"/>
          <w:sz w:val="17"/>
        </w:rPr>
        <w:t>Vitalis Therapeutics Inc. · VitaFlow (VTX-401) · CMC Readiness Assessment · status 15 October 2026. Fictional program.</w:t>
      </w:r>
    </w:p>
    <w:p/>
    <w:p>
      <w:r>
        <w:t>Vitalis Therapeutics Inc. — Manufacturing readiness for the VitaFlow (VTX-401) filing as at 15 October 2026: drug substance, drug product, device, analytical methods, registration batches, process validation and stability — and the open method transfer that propagates into three Gate 5 criteria.</w:t>
      </w:r>
    </w:p>
    <w:p>
      <w:pPr>
        <w:spacing w:before="320"/>
      </w:pPr>
      <w:r>
        <w:rPr>
          <w:b/>
          <w:color w:val="12304A"/>
          <w:sz w:val="28"/>
        </w:rPr>
        <w:t>1. What CMC Is, and Why It Gates the Filing</w:t>
      </w:r>
    </w:p>
    <w:p>
      <w:r>
        <w:t>Chemistry, Manufacturing and Controls is the evidence that the drug can be made reliably, to a defined standard, at commercial scale, and that it stays acceptable for as long as the label claims.</w:t>
      </w:r>
    </w:p>
    <w:p>
      <w:r>
        <w:t>It answers a different question from the clinical program. Clinical asks does this molecule work and is it safe. CMC asks can you make this specific product, batch after batch, and prove that you did. Both must be answered before a filing, and they are answered by different people using different evidence on different timelines.</w:t>
      </w:r>
    </w:p>
    <w:p>
      <w:pPr>
        <w:spacing w:before="120"/>
        <w:ind w:left="360"/>
      </w:pPr>
      <w:r>
        <w:rPr>
          <w:i/>
          <w:color w:val="12304A"/>
          <w:sz w:val="20"/>
        </w:rPr>
        <w:t>The mistake people from other industries make. The clinical question is intellectually interesting and gets the attention. The manufacturing question sounds like routine engineering — something a competent contract manufacturer simply does.</w:t>
      </w:r>
    </w:p>
    <w:p>
      <w:pPr>
        <w:spacing w:before="120"/>
        <w:ind w:left="360"/>
      </w:pPr>
      <w:r>
        <w:rPr>
          <w:i/>
          <w:color w:val="12304A"/>
          <w:sz w:val="20"/>
        </w:rPr>
        <w:t>It is not routine, and treating it as execution rather than as risk is why I-02 exists in this program's RAID Log. An analytical method transfer failed first-pass acceptance on two of three methods, cost $1,850,000, produced GC-01, and appeared on no risk register beforehand. It is the clearest single lesson in this program.</w:t>
      </w:r>
    </w:p>
    <w:p>
      <w:r>
        <w:t>The scheduling consequence is stated in the Program Charter §19 and worth repeating: a filing date is a manufacturing date as much as a clinical one. Registration batches must be made, placed on stability, and process validation completed before submission — and none of that waits for the trial to read out.</w:t>
      </w:r>
    </w:p>
    <w:p>
      <w:pPr>
        <w:spacing w:before="320"/>
      </w:pPr>
      <w:r>
        <w:rPr>
          <w:b/>
          <w:color w:val="12304A"/>
          <w:sz w:val="28"/>
        </w:rPr>
        <w:t>2. Workstream Status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Workstream</w:t>
            </w:r>
          </w:p>
        </w:tc>
        <w:tc>
          <w:tcPr>
            <w:tcW w:type="dxa" w:w="3216"/>
          </w:tcPr>
          <w:p>
            <w:r>
              <w:rPr>
                <w:b/>
                <w:sz w:val="17"/>
              </w:rPr>
              <w:t>Status</w:t>
            </w:r>
          </w:p>
        </w:tc>
        <w:tc>
          <w:tcPr>
            <w:tcW w:type="dxa" w:w="3216"/>
          </w:tcPr>
          <w:p>
            <w:r>
              <w:rPr>
                <w:b/>
                <w:sz w:val="17"/>
              </w:rPr>
              <w:t>Position</w:t>
            </w:r>
          </w:p>
        </w:tc>
      </w:tr>
      <w:tr>
        <w:tc>
          <w:tcPr>
            <w:tcW w:type="dxa" w:w="3216"/>
          </w:tcPr>
          <w:p>
            <w:r>
              <w:rPr>
                <w:sz w:val="17"/>
              </w:rPr>
              <w:t>Drug substance — route and process</w:t>
            </w:r>
          </w:p>
        </w:tc>
        <w:tc>
          <w:tcPr>
            <w:tcW w:type="dxa" w:w="3216"/>
          </w:tcPr>
          <w:p>
            <w:r>
              <w:rPr>
                <w:sz w:val="17"/>
              </w:rPr>
              <w:t>complete</w:t>
            </w:r>
          </w:p>
        </w:tc>
        <w:tc>
          <w:tcPr>
            <w:tcW w:type="dxa" w:w="3216"/>
          </w:tcPr>
          <w:p>
            <w:r>
              <w:rPr>
                <w:sz w:val="17"/>
              </w:rPr>
              <w:t>Synthetic route locked at Gate 3. Recombinant expression followed by chemical modification. Demonstrated at commercial scale in three consecutive engineering batches.</w:t>
            </w:r>
          </w:p>
        </w:tc>
      </w:tr>
      <w:tr>
        <w:tc>
          <w:tcPr>
            <w:tcW w:type="dxa" w:w="3216"/>
          </w:tcPr>
          <w:p>
            <w:r>
              <w:rPr>
                <w:sz w:val="17"/>
              </w:rPr>
              <w:t>Drug product — formulation</w:t>
            </w:r>
          </w:p>
        </w:tc>
        <w:tc>
          <w:tcPr>
            <w:tcW w:type="dxa" w:w="3216"/>
          </w:tcPr>
          <w:p>
            <w:r>
              <w:rPr>
                <w:sz w:val="17"/>
              </w:rPr>
              <w:t>complete</w:t>
            </w:r>
          </w:p>
        </w:tc>
        <w:tc>
          <w:tcPr>
            <w:tcW w:type="dxa" w:w="3216"/>
          </w:tcPr>
          <w:p>
            <w:r>
              <w:rPr>
                <w:sz w:val="17"/>
              </w:rPr>
              <w:t>Aqueous solution for subcutaneous injection, locked at Gate 3. No reformulation since.</w:t>
            </w:r>
          </w:p>
        </w:tc>
      </w:tr>
      <w:tr>
        <w:tc>
          <w:tcPr>
            <w:tcW w:type="dxa" w:w="3216"/>
          </w:tcPr>
          <w:p>
            <w:r>
              <w:rPr>
                <w:sz w:val="17"/>
              </w:rPr>
              <w:t>Device — prefilled pen</w:t>
            </w:r>
          </w:p>
        </w:tc>
        <w:tc>
          <w:tcPr>
            <w:tcW w:type="dxa" w:w="3216"/>
          </w:tcPr>
          <w:p>
            <w:r>
              <w:rPr>
                <w:sz w:val="17"/>
              </w:rPr>
              <w:t>complete</w:t>
            </w:r>
          </w:p>
        </w:tc>
        <w:tc>
          <w:tcPr>
            <w:tcW w:type="dxa" w:w="3216"/>
          </w:tcPr>
          <w:p>
            <w:r>
              <w:rPr>
                <w:sz w:val="17"/>
              </w:rPr>
              <w:t>Single-use disposable pen. Design verification and human factors validation complete.</w:t>
            </w:r>
          </w:p>
        </w:tc>
      </w:tr>
      <w:tr>
        <w:tc>
          <w:tcPr>
            <w:tcW w:type="dxa" w:w="3216"/>
          </w:tcPr>
          <w:p>
            <w:r>
              <w:rPr>
                <w:sz w:val="17"/>
              </w:rPr>
              <w:t>Analytical methods — development and validation</w:t>
            </w:r>
          </w:p>
        </w:tc>
        <w:tc>
          <w:tcPr>
            <w:tcW w:type="dxa" w:w="3216"/>
          </w:tcPr>
          <w:p>
            <w:r>
              <w:rPr>
                <w:sz w:val="17"/>
              </w:rPr>
              <w:t>complete</w:t>
            </w:r>
          </w:p>
        </w:tc>
        <w:tc>
          <w:tcPr>
            <w:tcW w:type="dxa" w:w="3216"/>
          </w:tcPr>
          <w:p>
            <w:r>
              <w:rPr>
                <w:sz w:val="17"/>
              </w:rPr>
              <w:t>All methods validated at Vitalis under ICH Q2.</w:t>
            </w:r>
          </w:p>
        </w:tc>
      </w:tr>
      <w:tr>
        <w:tc>
          <w:tcPr>
            <w:tcW w:type="dxa" w:w="3216"/>
          </w:tcPr>
          <w:p>
            <w:r>
              <w:rPr>
                <w:sz w:val="17"/>
              </w:rPr>
              <w:t>Analytical methods — transfer to Aldergate</w:t>
            </w:r>
          </w:p>
        </w:tc>
        <w:tc>
          <w:tcPr>
            <w:tcW w:type="dxa" w:w="3216"/>
          </w:tcPr>
          <w:p>
            <w:r>
              <w:rPr>
                <w:sz w:val="17"/>
              </w:rPr>
              <w:t>at risk</w:t>
            </w:r>
          </w:p>
        </w:tc>
        <w:tc>
          <w:tcPr>
            <w:tcW w:type="dxa" w:w="3216"/>
          </w:tcPr>
          <w:p>
            <w:r>
              <w:rPr>
                <w:sz w:val="17"/>
              </w:rPr>
              <w:t>Two of three re-qualified. The third is the open half of GC-01.</w:t>
            </w:r>
          </w:p>
        </w:tc>
      </w:tr>
      <w:tr>
        <w:tc>
          <w:tcPr>
            <w:tcW w:type="dxa" w:w="3216"/>
          </w:tcPr>
          <w:p>
            <w:r>
              <w:rPr>
                <w:sz w:val="17"/>
              </w:rPr>
              <w:t>Process validation — Stage 1 design</w:t>
            </w:r>
          </w:p>
        </w:tc>
        <w:tc>
          <w:tcPr>
            <w:tcW w:type="dxa" w:w="3216"/>
          </w:tcPr>
          <w:p>
            <w:r>
              <w:rPr>
                <w:sz w:val="17"/>
              </w:rPr>
              <w:t>complete</w:t>
            </w:r>
          </w:p>
        </w:tc>
        <w:tc>
          <w:tcPr>
            <w:tcW w:type="dxa" w:w="3216"/>
          </w:tcPr>
          <w:p>
            <w:r>
              <w:rPr>
                <w:sz w:val="17"/>
              </w:rPr>
              <w:t>Process design space defined.</w:t>
            </w:r>
          </w:p>
        </w:tc>
      </w:tr>
      <w:tr>
        <w:tc>
          <w:tcPr>
            <w:tcW w:type="dxa" w:w="3216"/>
          </w:tcPr>
          <w:p>
            <w:r>
              <w:rPr>
                <w:sz w:val="17"/>
              </w:rPr>
              <w:t>Process validation — Stage 2 qualification</w:t>
            </w:r>
          </w:p>
        </w:tc>
        <w:tc>
          <w:tcPr>
            <w:tcW w:type="dxa" w:w="3216"/>
          </w:tcPr>
          <w:p>
            <w:r>
              <w:rPr>
                <w:sz w:val="17"/>
              </w:rPr>
              <w:t>in progress</w:t>
            </w:r>
          </w:p>
        </w:tc>
        <w:tc>
          <w:tcPr>
            <w:tcW w:type="dxa" w:w="3216"/>
          </w:tcPr>
          <w:p>
            <w:r>
              <w:rPr>
                <w:sz w:val="17"/>
              </w:rPr>
              <w:t>Three PPQ batches scheduled Q1–Q2 2027.</w:t>
            </w:r>
          </w:p>
        </w:tc>
      </w:tr>
      <w:tr>
        <w:tc>
          <w:tcPr>
            <w:tcW w:type="dxa" w:w="3216"/>
          </w:tcPr>
          <w:p>
            <w:r>
              <w:rPr>
                <w:sz w:val="17"/>
              </w:rPr>
              <w:t>Registration batches</w:t>
            </w:r>
          </w:p>
        </w:tc>
        <w:tc>
          <w:tcPr>
            <w:tcW w:type="dxa" w:w="3216"/>
          </w:tcPr>
          <w:p>
            <w:r>
              <w:rPr>
                <w:sz w:val="17"/>
              </w:rPr>
              <w:t>in progress</w:t>
            </w:r>
          </w:p>
        </w:tc>
        <w:tc>
          <w:tcPr>
            <w:tcW w:type="dxa" w:w="3216"/>
          </w:tcPr>
          <w:p>
            <w:r>
              <w:rPr>
                <w:sz w:val="17"/>
              </w:rPr>
              <w:t>Three batches at commercial scale and site, placed on stability. These are the batches the NDA describes.</w:t>
            </w:r>
          </w:p>
        </w:tc>
      </w:tr>
      <w:tr>
        <w:tc>
          <w:tcPr>
            <w:tcW w:type="dxa" w:w="3216"/>
          </w:tcPr>
          <w:p>
            <w:r>
              <w:rPr>
                <w:sz w:val="17"/>
              </w:rPr>
              <w:t>Stability — ICH Q1A</w:t>
            </w:r>
          </w:p>
        </w:tc>
        <w:tc>
          <w:tcPr>
            <w:tcW w:type="dxa" w:w="3216"/>
          </w:tcPr>
          <w:p>
            <w:r>
              <w:rPr>
                <w:sz w:val="17"/>
              </w:rPr>
              <w:t>in progress</w:t>
            </w:r>
          </w:p>
        </w:tc>
        <w:tc>
          <w:tcPr>
            <w:tcW w:type="dxa" w:w="3216"/>
          </w:tcPr>
          <w:p>
            <w:r>
              <w:rPr>
                <w:sz w:val="17"/>
              </w:rPr>
              <w:t>18 months of long-term data to date; 24-month shelf-life claim requires 24.</w:t>
            </w:r>
          </w:p>
        </w:tc>
      </w:tr>
      <w:tr>
        <w:tc>
          <w:tcPr>
            <w:tcW w:type="dxa" w:w="3216"/>
          </w:tcPr>
          <w:p>
            <w:r>
              <w:rPr>
                <w:sz w:val="17"/>
              </w:rPr>
              <w:t>Specifications</w:t>
            </w:r>
          </w:p>
        </w:tc>
        <w:tc>
          <w:tcPr>
            <w:tcW w:type="dxa" w:w="3216"/>
          </w:tcPr>
          <w:p>
            <w:r>
              <w:rPr>
                <w:sz w:val="17"/>
              </w:rPr>
              <w:t>provisional</w:t>
            </w:r>
          </w:p>
        </w:tc>
        <w:tc>
          <w:tcPr>
            <w:tcW w:type="dxa" w:w="3216"/>
          </w:tcPr>
          <w:p>
            <w:r>
              <w:rPr>
                <w:sz w:val="17"/>
              </w:rPr>
              <w:t>Release and shelf-life acceptance criteria set. Some limits remain provisional pending additional stability and PPQ data.</w:t>
            </w:r>
          </w:p>
        </w:tc>
      </w:tr>
    </w:tbl>
    <w:p/>
    <w:p>
      <w:r>
        <w:t>Seven of ten workstreams are complete or on track. The three that are not all trace to the same root cause, examined at §4.</w:t>
      </w:r>
    </w:p>
    <w:p>
      <w:pPr>
        <w:spacing w:before="320"/>
      </w:pPr>
      <w:r>
        <w:rPr>
          <w:b/>
          <w:color w:val="12304A"/>
          <w:sz w:val="28"/>
        </w:rPr>
        <w:t>3. What Actually Gets Controlled</w:t>
      </w:r>
    </w:p>
    <w:p>
      <w:r>
        <w:t>A specification is a list of critical quality attributes with acceptance criteria and a method for measuring each. Every batch is tested against it, and a batch that fails is not released.</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Attribute</w:t>
            </w:r>
          </w:p>
        </w:tc>
        <w:tc>
          <w:tcPr>
            <w:tcW w:type="dxa" w:w="3216"/>
          </w:tcPr>
          <w:p>
            <w:r>
              <w:rPr>
                <w:b/>
                <w:sz w:val="17"/>
              </w:rPr>
              <w:t>Why it is controlled</w:t>
            </w:r>
          </w:p>
        </w:tc>
        <w:tc>
          <w:tcPr>
            <w:tcW w:type="dxa" w:w="3216"/>
          </w:tcPr>
          <w:p>
            <w:r>
              <w:rPr>
                <w:b/>
                <w:sz w:val="17"/>
              </w:rPr>
              <w:t>How it is measured</w:t>
            </w:r>
          </w:p>
        </w:tc>
      </w:tr>
      <w:tr>
        <w:tc>
          <w:tcPr>
            <w:tcW w:type="dxa" w:w="3216"/>
          </w:tcPr>
          <w:p>
            <w:r>
              <w:rPr>
                <w:sz w:val="17"/>
              </w:rPr>
              <w:t>Identity</w:t>
            </w:r>
          </w:p>
        </w:tc>
        <w:tc>
          <w:tcPr>
            <w:tcW w:type="dxa" w:w="3216"/>
          </w:tcPr>
          <w:p>
            <w:r>
              <w:rPr>
                <w:sz w:val="17"/>
              </w:rPr>
              <w:t>Confirms the molecule is what the label says</w:t>
            </w:r>
          </w:p>
        </w:tc>
        <w:tc>
          <w:tcPr>
            <w:tcW w:type="dxa" w:w="3216"/>
          </w:tcPr>
          <w:p>
            <w:r>
              <w:rPr>
                <w:sz w:val="17"/>
              </w:rPr>
              <w:t>Peptide mapping and mass confirmation</w:t>
            </w:r>
          </w:p>
        </w:tc>
      </w:tr>
      <w:tr>
        <w:tc>
          <w:tcPr>
            <w:tcW w:type="dxa" w:w="3216"/>
          </w:tcPr>
          <w:p>
            <w:r>
              <w:rPr>
                <w:sz w:val="17"/>
              </w:rPr>
              <w:t>Assay / content</w:t>
            </w:r>
          </w:p>
        </w:tc>
        <w:tc>
          <w:tcPr>
            <w:tcW w:type="dxa" w:w="3216"/>
          </w:tcPr>
          <w:p>
            <w:r>
              <w:rPr>
                <w:sz w:val="17"/>
              </w:rPr>
              <w:t>How much active is in each dose</w:t>
            </w:r>
          </w:p>
        </w:tc>
        <w:tc>
          <w:tcPr>
            <w:tcW w:type="dxa" w:w="3216"/>
          </w:tcPr>
          <w:p>
            <w:r>
              <w:rPr>
                <w:sz w:val="17"/>
              </w:rPr>
              <w:t>Reversed-phase HPLC</w:t>
            </w:r>
          </w:p>
        </w:tc>
      </w:tr>
      <w:tr>
        <w:tc>
          <w:tcPr>
            <w:tcW w:type="dxa" w:w="3216"/>
          </w:tcPr>
          <w:p>
            <w:r>
              <w:rPr>
                <w:sz w:val="17"/>
              </w:rPr>
              <w:t>Purity and related substances</w:t>
            </w:r>
          </w:p>
        </w:tc>
        <w:tc>
          <w:tcPr>
            <w:tcW w:type="dxa" w:w="3216"/>
          </w:tcPr>
          <w:p>
            <w:r>
              <w:rPr>
                <w:sz w:val="17"/>
              </w:rPr>
              <w:t>Process- and degradation-related impurities</w:t>
            </w:r>
          </w:p>
        </w:tc>
        <w:tc>
          <w:tcPr>
            <w:tcW w:type="dxa" w:w="3216"/>
          </w:tcPr>
          <w:p>
            <w:r>
              <w:rPr>
                <w:sz w:val="17"/>
              </w:rPr>
              <w:t>Reversed-phase HPLC with impurity profiling — the method still in transfer</w:t>
            </w:r>
          </w:p>
        </w:tc>
      </w:tr>
      <w:tr>
        <w:tc>
          <w:tcPr>
            <w:tcW w:type="dxa" w:w="3216"/>
          </w:tcPr>
          <w:p>
            <w:r>
              <w:rPr>
                <w:sz w:val="17"/>
              </w:rPr>
              <w:t>Aggregation</w:t>
            </w:r>
          </w:p>
        </w:tc>
        <w:tc>
          <w:tcPr>
            <w:tcW w:type="dxa" w:w="3216"/>
          </w:tcPr>
          <w:p>
            <w:r>
              <w:rPr>
                <w:sz w:val="17"/>
              </w:rPr>
              <w:t>Peptide aggregates can affect immunogenicity</w:t>
            </w:r>
          </w:p>
        </w:tc>
        <w:tc>
          <w:tcPr>
            <w:tcW w:type="dxa" w:w="3216"/>
          </w:tcPr>
          <w:p>
            <w:r>
              <w:rPr>
                <w:sz w:val="17"/>
              </w:rPr>
              <w:t>Size-exclusion chromatography</w:t>
            </w:r>
          </w:p>
        </w:tc>
      </w:tr>
      <w:tr>
        <w:tc>
          <w:tcPr>
            <w:tcW w:type="dxa" w:w="3216"/>
          </w:tcPr>
          <w:p>
            <w:r>
              <w:rPr>
                <w:sz w:val="17"/>
              </w:rPr>
              <w:t>Sterility and endotoxin</w:t>
            </w:r>
          </w:p>
        </w:tc>
        <w:tc>
          <w:tcPr>
            <w:tcW w:type="dxa" w:w="3216"/>
          </w:tcPr>
          <w:p>
            <w:r>
              <w:rPr>
                <w:sz w:val="17"/>
              </w:rPr>
              <w:t>Parenteral product, non-negotiable</w:t>
            </w:r>
          </w:p>
        </w:tc>
        <w:tc>
          <w:tcPr>
            <w:tcW w:type="dxa" w:w="3216"/>
          </w:tcPr>
          <w:p>
            <w:r>
              <w:rPr>
                <w:sz w:val="17"/>
              </w:rPr>
              <w:t>Compendial methods</w:t>
            </w:r>
          </w:p>
        </w:tc>
      </w:tr>
      <w:tr>
        <w:tc>
          <w:tcPr>
            <w:tcW w:type="dxa" w:w="3216"/>
          </w:tcPr>
          <w:p>
            <w:r>
              <w:rPr>
                <w:sz w:val="17"/>
              </w:rPr>
              <w:t>Deliverable volume and dose accuracy</w:t>
            </w:r>
          </w:p>
        </w:tc>
        <w:tc>
          <w:tcPr>
            <w:tcW w:type="dxa" w:w="3216"/>
          </w:tcPr>
          <w:p>
            <w:r>
              <w:rPr>
                <w:sz w:val="17"/>
              </w:rPr>
              <w:t>Device performance, not molecule performance</w:t>
            </w:r>
          </w:p>
        </w:tc>
        <w:tc>
          <w:tcPr>
            <w:tcW w:type="dxa" w:w="3216"/>
          </w:tcPr>
          <w:p>
            <w:r>
              <w:rPr>
                <w:sz w:val="17"/>
              </w:rPr>
              <w:t>Pen functional testing</w:t>
            </w:r>
          </w:p>
        </w:tc>
      </w:tr>
    </w:tbl>
    <w:p/>
    <w:p>
      <w:pPr>
        <w:spacing w:before="120"/>
        <w:ind w:left="360"/>
      </w:pPr>
      <w:r>
        <w:rPr>
          <w:i/>
          <w:color w:val="12304A"/>
          <w:sz w:val="20"/>
        </w:rPr>
        <w:t>Note the last row. Deliverable volume and dose accuracy are attributes of the pen, not the molecule. A perfectly manufactured drug substance in a device that under-delivers is a failed product, and device performance is qualified separately under its own design controls.</w:t>
      </w:r>
    </w:p>
    <w:p>
      <w:pPr>
        <w:spacing w:before="120"/>
        <w:ind w:left="360"/>
      </w:pPr>
      <w:r>
        <w:rPr>
          <w:i/>
          <w:color w:val="12304A"/>
          <w:sz w:val="20"/>
        </w:rPr>
        <w:t>This is a general pattern worth internalizing: for a combination product, the drug and the device are two regulated things in one box, and a program that manages only the molecule has managed half of what it is filing.</w:t>
      </w:r>
    </w:p>
    <w:p>
      <w:pPr>
        <w:spacing w:before="320"/>
      </w:pPr>
      <w:r>
        <w:rPr>
          <w:b/>
          <w:color w:val="12304A"/>
          <w:sz w:val="28"/>
        </w:rPr>
        <w:t>4. Analytical Method Transfer — the Live Problem</w:t>
      </w:r>
    </w:p>
    <w:p>
      <w:r>
        <w:t>An analytical method is a documented procedure for measuring a quality attribute. Transfer is the exercise of moving a validated method from the laboratory that developed it to the laboratory that will use it for batch release, and proving it performs equivalently there.</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Method</w:t>
            </w:r>
          </w:p>
        </w:tc>
        <w:tc>
          <w:tcPr>
            <w:tcW w:type="dxa" w:w="2412"/>
          </w:tcPr>
          <w:p>
            <w:r>
              <w:rPr>
                <w:b/>
                <w:sz w:val="17"/>
              </w:rPr>
              <w:t>Status</w:t>
            </w:r>
          </w:p>
        </w:tc>
        <w:tc>
          <w:tcPr>
            <w:tcW w:type="dxa" w:w="2412"/>
          </w:tcPr>
          <w:p>
            <w:r>
              <w:rPr>
                <w:b/>
                <w:sz w:val="17"/>
              </w:rPr>
              <w:t>Date</w:t>
            </w:r>
          </w:p>
        </w:tc>
        <w:tc>
          <w:tcPr>
            <w:tcW w:type="dxa" w:w="2412"/>
          </w:tcPr>
          <w:p>
            <w:r>
              <w:rPr>
                <w:b/>
                <w:sz w:val="17"/>
              </w:rPr>
              <w:t>Detail</w:t>
            </w:r>
          </w:p>
        </w:tc>
      </w:tr>
      <w:tr>
        <w:tc>
          <w:tcPr>
            <w:tcW w:type="dxa" w:w="2412"/>
          </w:tcPr>
          <w:p>
            <w:r>
              <w:rPr>
                <w:sz w:val="17"/>
              </w:rPr>
              <w:t>Assay (content)</w:t>
            </w:r>
          </w:p>
        </w:tc>
        <w:tc>
          <w:tcPr>
            <w:tcW w:type="dxa" w:w="2412"/>
          </w:tcPr>
          <w:p>
            <w:r>
              <w:rPr>
                <w:sz w:val="17"/>
              </w:rPr>
              <w:t>Re-qualified</w:t>
            </w:r>
          </w:p>
        </w:tc>
        <w:tc>
          <w:tcPr>
            <w:tcW w:type="dxa" w:w="2412"/>
          </w:tcPr>
          <w:p>
            <w:r>
              <w:rPr>
                <w:sz w:val="17"/>
              </w:rPr>
              <w:t>2026-08-28</w:t>
            </w:r>
          </w:p>
        </w:tc>
        <w:tc>
          <w:tcPr>
            <w:tcW w:type="dxa" w:w="2412"/>
          </w:tcPr>
          <w:p>
            <w:r>
              <w:rPr>
                <w:sz w:val="17"/>
              </w:rPr>
              <w:t>Passed at first attempt after the initial failure was traced to column conditioning.</w:t>
            </w:r>
          </w:p>
        </w:tc>
      </w:tr>
      <w:tr>
        <w:tc>
          <w:tcPr>
            <w:tcW w:type="dxa" w:w="2412"/>
          </w:tcPr>
          <w:p>
            <w:r>
              <w:rPr>
                <w:sz w:val="17"/>
              </w:rPr>
              <w:t>Aggregation (SEC)</w:t>
            </w:r>
          </w:p>
        </w:tc>
        <w:tc>
          <w:tcPr>
            <w:tcW w:type="dxa" w:w="2412"/>
          </w:tcPr>
          <w:p>
            <w:r>
              <w:rPr>
                <w:sz w:val="17"/>
              </w:rPr>
              <w:t>Re-qualified</w:t>
            </w:r>
          </w:p>
        </w:tc>
        <w:tc>
          <w:tcPr>
            <w:tcW w:type="dxa" w:w="2412"/>
          </w:tcPr>
          <w:p>
            <w:r>
              <w:rPr>
                <w:sz w:val="17"/>
              </w:rPr>
              <w:t>2026-09-12</w:t>
            </w:r>
          </w:p>
        </w:tc>
        <w:tc>
          <w:tcPr>
            <w:tcW w:type="dxa" w:w="2412"/>
          </w:tcPr>
          <w:p>
            <w:r>
              <w:rPr>
                <w:sz w:val="17"/>
              </w:rPr>
              <w:t>Passed on the second attempt.</w:t>
            </w:r>
          </w:p>
        </w:tc>
      </w:tr>
      <w:tr>
        <w:tc>
          <w:tcPr>
            <w:tcW w:type="dxa" w:w="2412"/>
          </w:tcPr>
          <w:p>
            <w:r>
              <w:rPr>
                <w:sz w:val="17"/>
              </w:rPr>
              <w:t>Purity / related substances</w:t>
            </w:r>
          </w:p>
        </w:tc>
        <w:tc>
          <w:tcPr>
            <w:tcW w:type="dxa" w:w="2412"/>
          </w:tcPr>
          <w:p>
            <w:r>
              <w:rPr>
                <w:sz w:val="17"/>
              </w:rPr>
              <w:t>In progress</w:t>
            </w:r>
          </w:p>
        </w:tc>
        <w:tc>
          <w:tcPr>
            <w:tcW w:type="dxa" w:w="2412"/>
          </w:tcPr>
          <w:p>
            <w:r>
              <w:rPr>
                <w:sz w:val="17"/>
              </w:rPr>
              <w:t>target 2026-12-18</w:t>
            </w:r>
          </w:p>
        </w:tc>
        <w:tc>
          <w:tcPr>
            <w:tcW w:type="dxa" w:w="2412"/>
          </w:tcPr>
          <w:p>
            <w:r>
              <w:rPr>
                <w:sz w:val="17"/>
              </w:rPr>
              <w:t>Re-run against protocol acceptance criteria completed 2026-09-30; results within specification, report in preparation. This is the open half of GC-01.</w:t>
            </w:r>
          </w:p>
        </w:tc>
      </w:tr>
    </w:tbl>
    <w:p/>
    <w:p>
      <w:pPr>
        <w:spacing w:before="120"/>
        <w:ind w:left="360"/>
      </w:pPr>
      <w:r>
        <w:rPr>
          <w:i/>
          <w:color w:val="12304A"/>
          <w:sz w:val="20"/>
        </w:rPr>
        <w:t>Why method transfer is harder than it sounds. The method is written down. The equipment is comparable. The analysts are qualified. And it still fails routinely, because a validated method carries a quantity of undocumented practice — column conditioning, sample handling, timing, the small judgments an experienced analyst makes without recording them.</w:t>
      </w:r>
    </w:p>
    <w:p>
      <w:pPr>
        <w:spacing w:before="120"/>
        <w:ind w:left="360"/>
      </w:pPr>
      <w:r>
        <w:rPr>
          <w:i/>
          <w:color w:val="12304A"/>
          <w:sz w:val="20"/>
        </w:rPr>
        <w:t>Transfer is where that tacit knowledge either survives the journey between two organizations or does not. This program's first failure was traced to column conditioning: a real, physical, entirely unglamorous variable that no protocol had captured because at the originating laboratory everyone already knew.</w:t>
      </w:r>
    </w:p>
    <w:p>
      <w:r>
        <w:t>The consequence chain is worth following, because it shows how a technical problem becomes a filing problem:</w:t>
      </w:r>
    </w:p>
    <w:p>
      <w:pPr>
        <w:pStyle w:val="ListBullet"/>
      </w:pPr>
      <w:r>
        <w:t>The purity method is not yet re-qualified at Aldergate.</w:t>
      </w:r>
    </w:p>
    <w:p>
      <w:pPr>
        <w:pStyle w:val="ListBullet"/>
      </w:pPr>
      <w:r>
        <w:t>A batch cannot be released without a qualified method to release it against.</w:t>
      </w:r>
    </w:p>
    <w:p>
      <w:pPr>
        <w:pStyle w:val="ListBullet"/>
      </w:pPr>
      <w:r>
        <w:t>So the third registration batch cannot be manufactured and placed on stability.</w:t>
      </w:r>
    </w:p>
    <w:p>
      <w:pPr>
        <w:pStyle w:val="ListBullet"/>
      </w:pPr>
      <w:r>
        <w:t>The NDA describes registration batches. Two is not three.</w:t>
      </w:r>
    </w:p>
    <w:p>
      <w:r>
        <w:t>None of that is a clinical problem, and none of it would be visible in a status report that tracked enrolment and spend.</w:t>
      </w:r>
    </w:p>
    <w:p>
      <w:pPr>
        <w:spacing w:before="320"/>
      </w:pPr>
      <w:r>
        <w:rPr>
          <w:b/>
          <w:color w:val="12304A"/>
          <w:sz w:val="28"/>
        </w:rPr>
        <w:t>5. Registration Batches and Process Validation</w:t>
      </w:r>
    </w:p>
    <w:p>
      <w:r>
        <w:t>Registration batches are made at commercial scale, at the commercial site, by the commercial process. They are the batches the NDA actually describes — the agency is not approving a molecule in the abstract, it is approving a product made a particular way in a particular place.</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Measure</w:t>
            </w:r>
          </w:p>
        </w:tc>
        <w:tc>
          <w:tcPr>
            <w:tcW w:type="dxa" w:w="4824"/>
          </w:tcPr>
          <w:p>
            <w:r>
              <w:rPr>
                <w:b/>
                <w:sz w:val="17"/>
              </w:rPr>
              <w:t>Position</w:t>
            </w:r>
          </w:p>
        </w:tc>
      </w:tr>
      <w:tr>
        <w:tc>
          <w:tcPr>
            <w:tcW w:type="dxa" w:w="4824"/>
          </w:tcPr>
          <w:p>
            <w:r>
              <w:rPr>
                <w:sz w:val="17"/>
              </w:rPr>
              <w:t>Planned</w:t>
            </w:r>
          </w:p>
        </w:tc>
        <w:tc>
          <w:tcPr>
            <w:tcW w:type="dxa" w:w="4824"/>
          </w:tcPr>
          <w:p>
            <w:r>
              <w:rPr>
                <w:sz w:val="17"/>
              </w:rPr>
              <w:t>3 batches</w:t>
            </w:r>
          </w:p>
        </w:tc>
      </w:tr>
      <w:tr>
        <w:tc>
          <w:tcPr>
            <w:tcW w:type="dxa" w:w="4824"/>
          </w:tcPr>
          <w:p>
            <w:r>
              <w:rPr>
                <w:sz w:val="17"/>
              </w:rPr>
              <w:t>Manufactured</w:t>
            </w:r>
          </w:p>
        </w:tc>
        <w:tc>
          <w:tcPr>
            <w:tcW w:type="dxa" w:w="4824"/>
          </w:tcPr>
          <w:p>
            <w:r>
              <w:rPr>
                <w:sz w:val="17"/>
              </w:rPr>
              <w:t>2 of 3</w:t>
            </w:r>
          </w:p>
        </w:tc>
      </w:tr>
      <w:tr>
        <w:tc>
          <w:tcPr>
            <w:tcW w:type="dxa" w:w="4824"/>
          </w:tcPr>
          <w:p>
            <w:r>
              <w:rPr>
                <w:sz w:val="17"/>
              </w:rPr>
              <w:t>On stability</w:t>
            </w:r>
          </w:p>
        </w:tc>
        <w:tc>
          <w:tcPr>
            <w:tcW w:type="dxa" w:w="4824"/>
          </w:tcPr>
          <w:p>
            <w:r>
              <w:rPr>
                <w:sz w:val="17"/>
              </w:rPr>
              <w:t>2 of 3</w:t>
            </w:r>
          </w:p>
        </w:tc>
      </w:tr>
      <w:tr>
        <w:tc>
          <w:tcPr>
            <w:tcW w:type="dxa" w:w="4824"/>
          </w:tcPr>
          <w:p>
            <w:r>
              <w:rPr>
                <w:sz w:val="17"/>
              </w:rPr>
              <w:t>Site</w:t>
            </w:r>
          </w:p>
        </w:tc>
        <w:tc>
          <w:tcPr>
            <w:tcW w:type="dxa" w:w="4824"/>
          </w:tcPr>
          <w:p>
            <w:r>
              <w:rPr>
                <w:sz w:val="17"/>
              </w:rPr>
              <w:t>Aldergate Biologics</w:t>
            </w:r>
          </w:p>
        </w:tc>
      </w:tr>
      <w:tr>
        <w:tc>
          <w:tcPr>
            <w:tcW w:type="dxa" w:w="4824"/>
          </w:tcPr>
          <w:p>
            <w:r>
              <w:rPr>
                <w:sz w:val="17"/>
              </w:rPr>
              <w:t>Scale</w:t>
            </w:r>
          </w:p>
        </w:tc>
        <w:tc>
          <w:tcPr>
            <w:tcW w:type="dxa" w:w="4824"/>
          </w:tcPr>
          <w:p>
            <w:r>
              <w:rPr>
                <w:sz w:val="17"/>
              </w:rPr>
              <w:t>commercial</w:t>
            </w:r>
          </w:p>
        </w:tc>
      </w:tr>
    </w:tbl>
    <w:p/>
    <w:p>
      <w:r>
        <w:t>The third is scheduled once purity method re-qualification closes — a batch cannot be released without a qualified method to release it against.</w:t>
      </w:r>
    </w:p>
    <w:p>
      <w:pPr>
        <w:spacing w:before="200"/>
      </w:pPr>
      <w:r>
        <w:rPr>
          <w:b/>
          <w:color w:val="2B5F8E"/>
          <w:sz w:val="23"/>
        </w:rPr>
        <w:t>Process validation</w:t>
      </w:r>
    </w:p>
    <w:p>
      <w:r>
        <w:t>Validation runs in three stages under current FDA thinking:</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Stage</w:t>
            </w:r>
          </w:p>
        </w:tc>
        <w:tc>
          <w:tcPr>
            <w:tcW w:type="dxa" w:w="3216"/>
          </w:tcPr>
          <w:p>
            <w:r>
              <w:rPr>
                <w:b/>
                <w:sz w:val="17"/>
              </w:rPr>
              <w:t>What it establishes</w:t>
            </w:r>
          </w:p>
        </w:tc>
        <w:tc>
          <w:tcPr>
            <w:tcW w:type="dxa" w:w="3216"/>
          </w:tcPr>
          <w:p>
            <w:r>
              <w:rPr>
                <w:b/>
                <w:sz w:val="17"/>
              </w:rPr>
              <w:t>Position</w:t>
            </w:r>
          </w:p>
        </w:tc>
      </w:tr>
      <w:tr>
        <w:tc>
          <w:tcPr>
            <w:tcW w:type="dxa" w:w="3216"/>
          </w:tcPr>
          <w:p>
            <w:r>
              <w:rPr>
                <w:sz w:val="17"/>
              </w:rPr>
              <w:t>Stage 1 — Process design</w:t>
            </w:r>
          </w:p>
        </w:tc>
        <w:tc>
          <w:tcPr>
            <w:tcW w:type="dxa" w:w="3216"/>
          </w:tcPr>
          <w:p>
            <w:r>
              <w:rPr>
                <w:sz w:val="17"/>
              </w:rPr>
              <w:t>The design space: which parameters matter and what ranges they must hold.</w:t>
            </w:r>
          </w:p>
        </w:tc>
        <w:tc>
          <w:tcPr>
            <w:tcW w:type="dxa" w:w="3216"/>
          </w:tcPr>
          <w:p>
            <w:r>
              <w:rPr>
                <w:sz w:val="17"/>
              </w:rPr>
              <w:t>complete</w:t>
            </w:r>
          </w:p>
        </w:tc>
      </w:tr>
      <w:tr>
        <w:tc>
          <w:tcPr>
            <w:tcW w:type="dxa" w:w="3216"/>
          </w:tcPr>
          <w:p>
            <w:r>
              <w:rPr>
                <w:sz w:val="17"/>
              </w:rPr>
              <w:t>Stage 2 — Process qualification (PPQ)</w:t>
            </w:r>
          </w:p>
        </w:tc>
        <w:tc>
          <w:tcPr>
            <w:tcW w:type="dxa" w:w="3216"/>
          </w:tcPr>
          <w:p>
            <w:r>
              <w:rPr>
                <w:sz w:val="17"/>
              </w:rPr>
              <w:t>That the commercial process, at the commercial site, reproducibly delivers product meeting specification. Conventionally three consecutive successful batches.</w:t>
            </w:r>
          </w:p>
        </w:tc>
        <w:tc>
          <w:tcPr>
            <w:tcW w:type="dxa" w:w="3216"/>
          </w:tcPr>
          <w:p>
            <w:r>
              <w:rPr>
                <w:sz w:val="17"/>
              </w:rPr>
              <w:t>Q1–Q2 2027</w:t>
            </w:r>
          </w:p>
        </w:tc>
      </w:tr>
      <w:tr>
        <w:tc>
          <w:tcPr>
            <w:tcW w:type="dxa" w:w="3216"/>
          </w:tcPr>
          <w:p>
            <w:r>
              <w:rPr>
                <w:sz w:val="17"/>
              </w:rPr>
              <w:t>Stage 3 — Continued process verification</w:t>
            </w:r>
          </w:p>
        </w:tc>
        <w:tc>
          <w:tcPr>
            <w:tcW w:type="dxa" w:w="3216"/>
          </w:tcPr>
          <w:p>
            <w:r>
              <w:rPr>
                <w:sz w:val="17"/>
              </w:rPr>
              <w:t>That it stays in control after approval. Ongoing, forever.</w:t>
            </w:r>
          </w:p>
        </w:tc>
        <w:tc>
          <w:tcPr>
            <w:tcW w:type="dxa" w:w="3216"/>
          </w:tcPr>
          <w:p>
            <w:r>
              <w:rPr>
                <w:sz w:val="17"/>
              </w:rPr>
              <w:t>post-approval</w:t>
            </w:r>
          </w:p>
        </w:tc>
      </w:tr>
    </w:tbl>
    <w:p/>
    <w:p>
      <w:pPr>
        <w:spacing w:before="120"/>
        <w:ind w:left="360"/>
      </w:pPr>
      <w:r>
        <w:rPr>
          <w:i/>
          <w:color w:val="12304A"/>
          <w:sz w:val="20"/>
        </w:rPr>
        <w:t>Stage 3 is the one that surprises people. Validation is not an event that concludes before launch. A commercial process is monitored continuously for the life of the product, and drift detected years after approval is a regulatory matter, not a manufacturing curiosity.</w:t>
      </w:r>
    </w:p>
    <w:p>
      <w:pPr>
        <w:spacing w:before="320"/>
      </w:pPr>
      <w:r>
        <w:rPr>
          <w:b/>
          <w:color w:val="12304A"/>
          <w:sz w:val="28"/>
        </w:rPr>
        <w:t>6. Stability</w:t>
      </w:r>
    </w:p>
    <w:p>
      <w:r>
        <w:t>Stability studies establish how long the product remains within specification, and under what storage conditions. The shelf life on the label is not an estimate — it is the period supported by real-time data under ICH Q1A(R2).</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Parameter</w:t>
            </w:r>
          </w:p>
        </w:tc>
        <w:tc>
          <w:tcPr>
            <w:tcW w:type="dxa" w:w="4824"/>
          </w:tcPr>
          <w:p>
            <w:r>
              <w:rPr>
                <w:b/>
                <w:sz w:val="17"/>
              </w:rPr>
              <w:t>Position</w:t>
            </w:r>
          </w:p>
        </w:tc>
      </w:tr>
      <w:tr>
        <w:tc>
          <w:tcPr>
            <w:tcW w:type="dxa" w:w="4824"/>
          </w:tcPr>
          <w:p>
            <w:r>
              <w:rPr>
                <w:sz w:val="17"/>
              </w:rPr>
              <w:t>Guideline</w:t>
            </w:r>
          </w:p>
        </w:tc>
        <w:tc>
          <w:tcPr>
            <w:tcW w:type="dxa" w:w="4824"/>
          </w:tcPr>
          <w:p>
            <w:r>
              <w:rPr>
                <w:sz w:val="17"/>
              </w:rPr>
              <w:t>ICH Q1A(R2)</w:t>
            </w:r>
          </w:p>
        </w:tc>
      </w:tr>
      <w:tr>
        <w:tc>
          <w:tcPr>
            <w:tcW w:type="dxa" w:w="4824"/>
          </w:tcPr>
          <w:p>
            <w:r>
              <w:rPr>
                <w:sz w:val="17"/>
              </w:rPr>
              <w:t>Long-term condition</w:t>
            </w:r>
          </w:p>
        </w:tc>
        <w:tc>
          <w:tcPr>
            <w:tcW w:type="dxa" w:w="4824"/>
          </w:tcPr>
          <w:p>
            <w:r>
              <w:rPr>
                <w:sz w:val="17"/>
              </w:rPr>
              <w:t>5°C ±3°C</w:t>
            </w:r>
          </w:p>
        </w:tc>
      </w:tr>
      <w:tr>
        <w:tc>
          <w:tcPr>
            <w:tcW w:type="dxa" w:w="4824"/>
          </w:tcPr>
          <w:p>
            <w:r>
              <w:rPr>
                <w:sz w:val="17"/>
              </w:rPr>
              <w:t>Accelerated condition</w:t>
            </w:r>
          </w:p>
        </w:tc>
        <w:tc>
          <w:tcPr>
            <w:tcW w:type="dxa" w:w="4824"/>
          </w:tcPr>
          <w:p>
            <w:r>
              <w:rPr>
                <w:sz w:val="17"/>
              </w:rPr>
              <w:t>25°C / 60% RH</w:t>
            </w:r>
          </w:p>
        </w:tc>
      </w:tr>
      <w:tr>
        <w:tc>
          <w:tcPr>
            <w:tcW w:type="dxa" w:w="4824"/>
          </w:tcPr>
          <w:p>
            <w:r>
              <w:rPr>
                <w:sz w:val="17"/>
              </w:rPr>
              <w:t>Data available</w:t>
            </w:r>
          </w:p>
        </w:tc>
        <w:tc>
          <w:tcPr>
            <w:tcW w:type="dxa" w:w="4824"/>
          </w:tcPr>
          <w:p>
            <w:r>
              <w:rPr>
                <w:sz w:val="17"/>
              </w:rPr>
              <w:t>18 months</w:t>
            </w:r>
          </w:p>
        </w:tc>
      </w:tr>
      <w:tr>
        <w:tc>
          <w:tcPr>
            <w:tcW w:type="dxa" w:w="4824"/>
          </w:tcPr>
          <w:p>
            <w:r>
              <w:rPr>
                <w:sz w:val="17"/>
              </w:rPr>
              <w:t>Required for the claim</w:t>
            </w:r>
          </w:p>
        </w:tc>
        <w:tc>
          <w:tcPr>
            <w:tcW w:type="dxa" w:w="4824"/>
          </w:tcPr>
          <w:p>
            <w:r>
              <w:rPr>
                <w:sz w:val="17"/>
              </w:rPr>
              <w:t>24 months</w:t>
            </w:r>
          </w:p>
        </w:tc>
      </w:tr>
      <w:tr>
        <w:tc>
          <w:tcPr>
            <w:tcW w:type="dxa" w:w="4824"/>
          </w:tcPr>
          <w:p>
            <w:r>
              <w:rPr>
                <w:sz w:val="17"/>
              </w:rPr>
              <w:t>Label claim sought</w:t>
            </w:r>
          </w:p>
        </w:tc>
        <w:tc>
          <w:tcPr>
            <w:tcW w:type="dxa" w:w="4824"/>
          </w:tcPr>
          <w:p>
            <w:r>
              <w:rPr>
                <w:sz w:val="17"/>
              </w:rPr>
              <w:t>24 months refrigerated plus 28 days in use at room temperature</w:t>
            </w:r>
          </w:p>
        </w:tc>
      </w:tr>
      <w:tr>
        <w:tc>
          <w:tcPr>
            <w:tcW w:type="dxa" w:w="4824"/>
          </w:tcPr>
          <w:p>
            <w:r>
              <w:rPr>
                <w:sz w:val="17"/>
              </w:rPr>
              <w:t>Supportable today</w:t>
            </w:r>
          </w:p>
        </w:tc>
        <w:tc>
          <w:tcPr>
            <w:tcW w:type="dxa" w:w="4824"/>
          </w:tcPr>
          <w:p>
            <w:r>
              <w:rPr>
                <w:sz w:val="17"/>
              </w:rPr>
              <w:t>18 months refrigerated</w:t>
            </w:r>
          </w:p>
        </w:tc>
      </w:tr>
      <w:tr>
        <w:tc>
          <w:tcPr>
            <w:tcW w:type="dxa" w:w="4824"/>
          </w:tcPr>
          <w:p>
            <w:r>
              <w:rPr>
                <w:sz w:val="17"/>
              </w:rPr>
              <w:t>In-use claim</w:t>
            </w:r>
          </w:p>
        </w:tc>
        <w:tc>
          <w:tcPr>
            <w:tcW w:type="dxa" w:w="4824"/>
          </w:tcPr>
          <w:p>
            <w:r>
              <w:rPr>
                <w:sz w:val="17"/>
              </w:rPr>
              <w:t>Room-temperature in-use data generating; 28-day claim not yet supported.</w:t>
            </w:r>
          </w:p>
        </w:tc>
      </w:tr>
    </w:tbl>
    <w:p/>
    <w:p>
      <w:pPr>
        <w:spacing w:before="120"/>
        <w:ind w:left="360"/>
      </w:pPr>
      <w:r>
        <w:rPr>
          <w:i/>
          <w:color w:val="12304A"/>
          <w:sz w:val="20"/>
        </w:rPr>
        <w:t>Stability cannot be accelerated, and this is the constraint most resistant to management. Twenty-four months of real-time data takes twenty-four months. No amount of money, escalation or parallel working produces month nineteen early.</w:t>
      </w:r>
    </w:p>
    <w:p>
      <w:pPr>
        <w:spacing w:before="120"/>
        <w:ind w:left="360"/>
      </w:pPr>
      <w:r>
        <w:rPr>
          <w:i/>
          <w:color w:val="12304A"/>
          <w:sz w:val="20"/>
        </w:rPr>
        <w:t>Accelerated conditions support extrapolation and inform the development picture, but a 24-month refrigerated claim requires 24 months of long-term data. The only genuine lever is starting earlier, which means putting batches on stability before you are certain you will need them — spending money on a program that may not proceed, to protect a date that only matters if it does.</w:t>
      </w:r>
    </w:p>
    <w:p>
      <w:r>
        <w:t>The program is 18 months in against a 24-month requirement, with the Gate 5 submission at September 2028. That arithmetic works, provided nothing restarts the clock.</w:t>
      </w:r>
    </w:p>
    <w:p>
      <w:pPr>
        <w:spacing w:before="320"/>
      </w:pPr>
      <w:r>
        <w:rPr>
          <w:b/>
          <w:color w:val="12304A"/>
          <w:sz w:val="28"/>
        </w:rPr>
        <w:t>7. Gate 5 Readiness</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Gate 5 CMC criterion</w:t>
            </w:r>
          </w:p>
        </w:tc>
        <w:tc>
          <w:tcPr>
            <w:tcW w:type="dxa" w:w="2412"/>
          </w:tcPr>
          <w:p>
            <w:r>
              <w:rPr>
                <w:b/>
                <w:sz w:val="17"/>
              </w:rPr>
              <w:t>Required</w:t>
            </w:r>
          </w:p>
        </w:tc>
        <w:tc>
          <w:tcPr>
            <w:tcW w:type="dxa" w:w="2412"/>
          </w:tcPr>
          <w:p>
            <w:r>
              <w:rPr>
                <w:b/>
                <w:sz w:val="17"/>
              </w:rPr>
              <w:t>Position</w:t>
            </w:r>
          </w:p>
        </w:tc>
        <w:tc>
          <w:tcPr>
            <w:tcW w:type="dxa" w:w="2412"/>
          </w:tcPr>
          <w:p>
            <w:r>
              <w:rPr>
                <w:b/>
                <w:sz w:val="17"/>
              </w:rPr>
              <w:t>Status</w:t>
            </w:r>
          </w:p>
        </w:tc>
      </w:tr>
      <w:tr>
        <w:tc>
          <w:tcPr>
            <w:tcW w:type="dxa" w:w="2412"/>
          </w:tcPr>
          <w:p>
            <w:r>
              <w:rPr>
                <w:sz w:val="17"/>
              </w:rPr>
              <w:t>Registration batches manufactured</w:t>
            </w:r>
          </w:p>
        </w:tc>
        <w:tc>
          <w:tcPr>
            <w:tcW w:type="dxa" w:w="2412"/>
          </w:tcPr>
          <w:p>
            <w:r>
              <w:rPr>
                <w:sz w:val="17"/>
              </w:rPr>
              <w:t>3 of 3</w:t>
            </w:r>
          </w:p>
        </w:tc>
        <w:tc>
          <w:tcPr>
            <w:tcW w:type="dxa" w:w="2412"/>
          </w:tcPr>
          <w:p>
            <w:r>
              <w:rPr>
                <w:sz w:val="17"/>
              </w:rPr>
              <w:t>2 of 3</w:t>
            </w:r>
          </w:p>
        </w:tc>
        <w:tc>
          <w:tcPr>
            <w:tcW w:type="dxa" w:w="2412"/>
          </w:tcPr>
          <w:p>
            <w:r>
              <w:rPr>
                <w:sz w:val="17"/>
              </w:rPr>
              <w:t>at risk</w:t>
            </w:r>
          </w:p>
        </w:tc>
      </w:tr>
      <w:tr>
        <w:tc>
          <w:tcPr>
            <w:tcW w:type="dxa" w:w="2412"/>
          </w:tcPr>
          <w:p>
            <w:r>
              <w:rPr>
                <w:sz w:val="17"/>
              </w:rPr>
              <w:t>Registration batches on stability</w:t>
            </w:r>
          </w:p>
        </w:tc>
        <w:tc>
          <w:tcPr>
            <w:tcW w:type="dxa" w:w="2412"/>
          </w:tcPr>
          <w:p>
            <w:r>
              <w:rPr>
                <w:sz w:val="17"/>
              </w:rPr>
              <w:t>3 of 3</w:t>
            </w:r>
          </w:p>
        </w:tc>
        <w:tc>
          <w:tcPr>
            <w:tcW w:type="dxa" w:w="2412"/>
          </w:tcPr>
          <w:p>
            <w:r>
              <w:rPr>
                <w:sz w:val="17"/>
              </w:rPr>
              <w:t>2 of 3</w:t>
            </w:r>
          </w:p>
        </w:tc>
        <w:tc>
          <w:tcPr>
            <w:tcW w:type="dxa" w:w="2412"/>
          </w:tcPr>
          <w:p>
            <w:r>
              <w:rPr>
                <w:sz w:val="17"/>
              </w:rPr>
              <w:t>at risk</w:t>
            </w:r>
          </w:p>
        </w:tc>
      </w:tr>
      <w:tr>
        <w:tc>
          <w:tcPr>
            <w:tcW w:type="dxa" w:w="2412"/>
          </w:tcPr>
          <w:p>
            <w:r>
              <w:rPr>
                <w:sz w:val="17"/>
              </w:rPr>
              <w:t>Analytical methods transferred and re-qualified</w:t>
            </w:r>
          </w:p>
        </w:tc>
        <w:tc>
          <w:tcPr>
            <w:tcW w:type="dxa" w:w="2412"/>
          </w:tcPr>
          <w:p>
            <w:r>
              <w:rPr>
                <w:sz w:val="17"/>
              </w:rPr>
              <w:t>3 of 3</w:t>
            </w:r>
          </w:p>
        </w:tc>
        <w:tc>
          <w:tcPr>
            <w:tcW w:type="dxa" w:w="2412"/>
          </w:tcPr>
          <w:p>
            <w:r>
              <w:rPr>
                <w:sz w:val="17"/>
              </w:rPr>
              <w:t>2 of 3</w:t>
            </w:r>
          </w:p>
        </w:tc>
        <w:tc>
          <w:tcPr>
            <w:tcW w:type="dxa" w:w="2412"/>
          </w:tcPr>
          <w:p>
            <w:r>
              <w:rPr>
                <w:sz w:val="17"/>
              </w:rPr>
              <w:t>at risk</w:t>
            </w:r>
          </w:p>
        </w:tc>
      </w:tr>
      <w:tr>
        <w:tc>
          <w:tcPr>
            <w:tcW w:type="dxa" w:w="2412"/>
          </w:tcPr>
          <w:p>
            <w:r>
              <w:rPr>
                <w:sz w:val="17"/>
              </w:rPr>
              <w:t>Process validation Stage 2 (PPQ) complete</w:t>
            </w:r>
          </w:p>
        </w:tc>
        <w:tc>
          <w:tcPr>
            <w:tcW w:type="dxa" w:w="2412"/>
          </w:tcPr>
          <w:p>
            <w:r>
              <w:rPr>
                <w:sz w:val="17"/>
              </w:rPr>
              <w:t>3 batches</w:t>
            </w:r>
          </w:p>
        </w:tc>
        <w:tc>
          <w:tcPr>
            <w:tcW w:type="dxa" w:w="2412"/>
          </w:tcPr>
          <w:p>
            <w:r>
              <w:rPr>
                <w:sz w:val="17"/>
              </w:rPr>
              <w:t>scheduled Q1–Q2 2027</w:t>
            </w:r>
          </w:p>
        </w:tc>
        <w:tc>
          <w:tcPr>
            <w:tcW w:type="dxa" w:w="2412"/>
          </w:tcPr>
          <w:p>
            <w:r>
              <w:rPr>
                <w:sz w:val="17"/>
              </w:rPr>
              <w:t>on track</w:t>
            </w:r>
          </w:p>
        </w:tc>
      </w:tr>
      <w:tr>
        <w:tc>
          <w:tcPr>
            <w:tcW w:type="dxa" w:w="2412"/>
          </w:tcPr>
          <w:p>
            <w:r>
              <w:rPr>
                <w:sz w:val="17"/>
              </w:rPr>
              <w:t>Stability supporting the shelf-life claim</w:t>
            </w:r>
          </w:p>
        </w:tc>
        <w:tc>
          <w:tcPr>
            <w:tcW w:type="dxa" w:w="2412"/>
          </w:tcPr>
          <w:p>
            <w:r>
              <w:rPr>
                <w:sz w:val="17"/>
              </w:rPr>
              <w:t>24 months</w:t>
            </w:r>
          </w:p>
        </w:tc>
        <w:tc>
          <w:tcPr>
            <w:tcW w:type="dxa" w:w="2412"/>
          </w:tcPr>
          <w:p>
            <w:r>
              <w:rPr>
                <w:sz w:val="17"/>
              </w:rPr>
              <w:t>18 months available</w:t>
            </w:r>
          </w:p>
        </w:tc>
        <w:tc>
          <w:tcPr>
            <w:tcW w:type="dxa" w:w="2412"/>
          </w:tcPr>
          <w:p>
            <w:r>
              <w:rPr>
                <w:sz w:val="17"/>
              </w:rPr>
              <w:t>on track</w:t>
            </w:r>
          </w:p>
        </w:tc>
      </w:tr>
      <w:tr>
        <w:tc>
          <w:tcPr>
            <w:tcW w:type="dxa" w:w="2412"/>
          </w:tcPr>
          <w:p>
            <w:r>
              <w:rPr>
                <w:sz w:val="17"/>
              </w:rPr>
              <w:t>Specifications finalized</w:t>
            </w:r>
          </w:p>
        </w:tc>
        <w:tc>
          <w:tcPr>
            <w:tcW w:type="dxa" w:w="2412"/>
          </w:tcPr>
          <w:p>
            <w:r>
              <w:rPr>
                <w:sz w:val="17"/>
              </w:rPr>
              <w:t>All limits fixed</w:t>
            </w:r>
          </w:p>
        </w:tc>
        <w:tc>
          <w:tcPr>
            <w:tcW w:type="dxa" w:w="2412"/>
          </w:tcPr>
          <w:p>
            <w:r>
              <w:rPr>
                <w:sz w:val="17"/>
              </w:rPr>
              <w:t>Provisional on 2 attributes</w:t>
            </w:r>
          </w:p>
        </w:tc>
        <w:tc>
          <w:tcPr>
            <w:tcW w:type="dxa" w:w="2412"/>
          </w:tcPr>
          <w:p>
            <w:r>
              <w:rPr>
                <w:sz w:val="17"/>
              </w:rPr>
              <w:t>on track</w:t>
            </w:r>
          </w:p>
        </w:tc>
      </w:tr>
      <w:tr>
        <w:tc>
          <w:tcPr>
            <w:tcW w:type="dxa" w:w="2412"/>
          </w:tcPr>
          <w:p>
            <w:r>
              <w:rPr>
                <w:sz w:val="17"/>
              </w:rPr>
              <w:t>Module 3 drafted</w:t>
            </w:r>
          </w:p>
        </w:tc>
        <w:tc>
          <w:tcPr>
            <w:tcW w:type="dxa" w:w="2412"/>
          </w:tcPr>
          <w:p>
            <w:r>
              <w:rPr>
                <w:sz w:val="17"/>
              </w:rPr>
              <w:t>Complete</w:t>
            </w:r>
          </w:p>
        </w:tc>
        <w:tc>
          <w:tcPr>
            <w:tcW w:type="dxa" w:w="2412"/>
          </w:tcPr>
          <w:p>
            <w:r>
              <w:rPr>
                <w:sz w:val="17"/>
              </w:rPr>
              <w:t>In progress</w:t>
            </w:r>
          </w:p>
        </w:tc>
        <w:tc>
          <w:tcPr>
            <w:tcW w:type="dxa" w:w="2412"/>
          </w:tcPr>
          <w:p>
            <w:r>
              <w:rPr>
                <w:sz w:val="17"/>
              </w:rPr>
              <w:t>on track</w:t>
            </w:r>
          </w:p>
        </w:tc>
      </w:tr>
    </w:tbl>
    <w:p/>
    <w:p>
      <w:pPr>
        <w:spacing w:before="120"/>
        <w:ind w:left="360"/>
      </w:pPr>
      <w:r>
        <w:rPr>
          <w:i/>
          <w:color w:val="12304A"/>
          <w:sz w:val="20"/>
        </w:rPr>
        <w:t>3 of 7 criteria are at risk, and all three are the same problem wearing different hats. The purity method is not re-qualified, so the third registration batch cannot be made, so it cannot go on stability. One unresolved technical transfer propagates into three separate Gate 5 criteria.</w:t>
      </w:r>
    </w:p>
    <w:p>
      <w:pPr>
        <w:spacing w:before="120"/>
        <w:ind w:left="360"/>
      </w:pPr>
      <w:r>
        <w:rPr>
          <w:i/>
          <w:color w:val="12304A"/>
          <w:sz w:val="20"/>
        </w:rPr>
        <w:t>This is why GC-01 was issued at Gate 4 rather than left as an operational matter, and why its verification method — signed qualification reports for all three methods, against the acceptance criteria as written at transfer rather than as amended during it — was fixed at issue and is not renegotiable. Closing it on two methods would have closed the condition and left the filing exposed.</w:t>
      </w:r>
    </w:p>
    <w:p>
      <w:r>
        <w:t>Specifications remain provisional on two attributes. That is normal at this stage: some acceptance limits legitimately tighten as PPQ and stability data accumulate, and setting them prematurely on sparse data risks a limit the commercial process cannot reliably hold.</w:t>
      </w:r>
    </w:p>
    <w:p>
      <w:pPr>
        <w:spacing w:before="320"/>
      </w:pPr>
      <w:r>
        <w:rPr>
          <w:b/>
          <w:color w:val="12304A"/>
          <w:sz w:val="28"/>
        </w:rPr>
        <w:t>8. What a Program Manager Owns Here</w:t>
      </w:r>
    </w:p>
    <w:p>
      <w:r>
        <w:t>A program manager does not develop analytical methods, design a synthetic route, or run a stability chamber. The contribution is elsewhere.</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Contribution</w:t>
            </w:r>
          </w:p>
        </w:tc>
        <w:tc>
          <w:tcPr>
            <w:tcW w:type="dxa" w:w="4824"/>
          </w:tcPr>
          <w:p>
            <w:r>
              <w:rPr>
                <w:b/>
                <w:sz w:val="17"/>
              </w:rPr>
              <w:t>In this program</w:t>
            </w:r>
          </w:p>
        </w:tc>
      </w:tr>
      <w:tr>
        <w:tc>
          <w:tcPr>
            <w:tcW w:type="dxa" w:w="4824"/>
          </w:tcPr>
          <w:p>
            <w:r>
              <w:rPr>
                <w:sz w:val="17"/>
              </w:rPr>
              <w:t>Recognizing transfer as risk, not execution</w:t>
            </w:r>
          </w:p>
        </w:tc>
        <w:tc>
          <w:tcPr>
            <w:tcW w:type="dxa" w:w="4824"/>
          </w:tcPr>
          <w:p>
            <w:r>
              <w:rPr>
                <w:sz w:val="17"/>
              </w:rPr>
              <w:t>The lesson of I-02. Any movement of a method, process or system between legal entities gets registered as a risk at the gate that authorizes it (L-01).</w:t>
            </w:r>
          </w:p>
        </w:tc>
      </w:tr>
      <w:tr>
        <w:tc>
          <w:tcPr>
            <w:tcW w:type="dxa" w:w="4824"/>
          </w:tcPr>
          <w:p>
            <w:r>
              <w:rPr>
                <w:sz w:val="17"/>
              </w:rPr>
              <w:t>Holding the dependency chain visible</w:t>
            </w:r>
          </w:p>
        </w:tc>
        <w:tc>
          <w:tcPr>
            <w:tcW w:type="dxa" w:w="4824"/>
          </w:tcPr>
          <w:p>
            <w:r>
              <w:rPr>
                <w:sz w:val="17"/>
              </w:rPr>
              <w:t>Method → batch release → registration batch → stability → filing. Four links, three functions, one date.</w:t>
            </w:r>
          </w:p>
        </w:tc>
      </w:tr>
      <w:tr>
        <w:tc>
          <w:tcPr>
            <w:tcW w:type="dxa" w:w="4824"/>
          </w:tcPr>
          <w:p>
            <w:r>
              <w:rPr>
                <w:sz w:val="17"/>
              </w:rPr>
              <w:t>Protecting the long-lead items</w:t>
            </w:r>
          </w:p>
        </w:tc>
        <w:tc>
          <w:tcPr>
            <w:tcW w:type="dxa" w:w="4824"/>
          </w:tcPr>
          <w:p>
            <w:r>
              <w:rPr>
                <w:sz w:val="17"/>
              </w:rPr>
              <w:t>Stability is the only workstream that cannot be compressed. Anything that restarts it costs months no budget can recover.</w:t>
            </w:r>
          </w:p>
        </w:tc>
      </w:tr>
      <w:tr>
        <w:tc>
          <w:tcPr>
            <w:tcW w:type="dxa" w:w="4824"/>
          </w:tcPr>
          <w:p>
            <w:r>
              <w:rPr>
                <w:sz w:val="17"/>
              </w:rPr>
              <w:t>Refusing partial closure</w:t>
            </w:r>
          </w:p>
        </w:tc>
        <w:tc>
          <w:tcPr>
            <w:tcW w:type="dxa" w:w="4824"/>
          </w:tcPr>
          <w:p>
            <w:r>
              <w:rPr>
                <w:sz w:val="17"/>
              </w:rPr>
              <w:t>Two of three methods is not closure of GC-01, however reasonable the argument.</w:t>
            </w:r>
          </w:p>
        </w:tc>
      </w:tr>
      <w:tr>
        <w:tc>
          <w:tcPr>
            <w:tcW w:type="dxa" w:w="4824"/>
          </w:tcPr>
          <w:p>
            <w:r>
              <w:rPr>
                <w:sz w:val="17"/>
              </w:rPr>
              <w:t>Sequencing spend against uncertainty</w:t>
            </w:r>
          </w:p>
        </w:tc>
        <w:tc>
          <w:tcPr>
            <w:tcW w:type="dxa" w:w="4824"/>
          </w:tcPr>
          <w:p>
            <w:r>
              <w:rPr>
                <w:sz w:val="17"/>
              </w:rPr>
              <w:t>Registration batches cost real money on a program that may still fail Phase 3. The decision to start stability early is a governance judgment, not a technical one.</w:t>
            </w:r>
          </w:p>
        </w:tc>
      </w:tr>
    </w:tbl>
    <w:p/>
    <w:p>
      <w:pPr>
        <w:spacing w:before="120"/>
        <w:ind w:left="360"/>
      </w:pPr>
      <w:r>
        <w:rPr>
          <w:i/>
          <w:color w:val="12304A"/>
          <w:sz w:val="20"/>
        </w:rPr>
        <w:t>Read the last row twice. It is the only genuinely hard one. Starting stability early protects the filing date and spends money on a program with a 50% conditional probability of approval. Starting late saves that money and risks the date if anything goes wrong.</w:t>
      </w:r>
    </w:p>
    <w:p>
      <w:pPr>
        <w:spacing w:before="120"/>
        <w:ind w:left="360"/>
      </w:pPr>
      <w:r>
        <w:rPr>
          <w:i/>
          <w:color w:val="12304A"/>
          <w:sz w:val="20"/>
        </w:rPr>
        <w:t>There is no technically correct answer. It is a decision about how much a date is worth, which is exactly the kind of question a gate exists to put in front of people with the authority to answer it.</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