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AFFAIRS · VITALIS THERAPEUTICS INC. · ILLUSTRATIVE END-STATE SAMPLE — FORWARD-DATED, NOT RECONCILED</w:t>
      </w:r>
    </w:p>
    <w:p>
      <w:r>
        <w:rPr>
          <w:b/>
          <w:color w:val="12304A"/>
          <w:sz w:val="44"/>
        </w:rPr>
        <w:t>FDA Review Log</w:t>
      </w:r>
    </w:p>
    <w:p>
      <w:r>
        <w:rPr>
          <w:i/>
          <w:color w:val="6B7280"/>
          <w:sz w:val="17"/>
        </w:rPr>
        <w:t>Vitalis Therapeutics Inc. · VitaFlow (VTX-401) · FDA Review Log · 2029-10-05. Illustrative end-state sample — forward-dated, not reconciled. Fictional program.</w:t>
      </w:r>
    </w:p>
    <w:p/>
    <w:p>
      <w:r>
        <w:t>Vitalis Therapeutics Inc. — The FDA review period for VitaFlow (VTX-401), from filing acceptance 2028-12-11 to approval 2029-10-05: the review timeline, 7 information requests, the pre-approval inspection, labeling negotiation, and why no advisory committee was convened.</w:t>
      </w:r>
    </w:p>
    <w:p>
      <w:pPr>
        <w:spacing w:before="120"/>
        <w:ind w:left="360"/>
      </w:pPr>
      <w:r>
        <w:rPr>
          <w:i/>
          <w:color w:val="12304A"/>
          <w:sz w:val="20"/>
        </w:rPr>
        <w:t>Forward-dated end-state sample. This log covers December 2028 to April 2029, the review period between filing acceptance and the action date. It is deliberately not reconciled against the in-flight artifacts written to 15 October 2026.</w:t>
      </w:r>
    </w:p>
    <w:p>
      <w:pPr>
        <w:spacing w:before="320"/>
      </w:pPr>
      <w:r>
        <w:rPr>
          <w:b/>
          <w:color w:val="12304A"/>
          <w:sz w:val="28"/>
        </w:rPr>
        <w:t>1. The Review Period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Date</w:t>
            </w:r>
          </w:p>
        </w:tc>
        <w:tc>
          <w:tcPr>
            <w:tcW w:type="dxa" w:w="2412"/>
          </w:tcPr>
          <w:p>
            <w:r>
              <w:rPr>
                <w:b/>
                <w:sz w:val="17"/>
              </w:rPr>
              <w:t>Review day</w:t>
            </w:r>
          </w:p>
        </w:tc>
        <w:tc>
          <w:tcPr>
            <w:tcW w:type="dxa" w:w="2412"/>
          </w:tcPr>
          <w:p>
            <w:r>
              <w:rPr>
                <w:b/>
                <w:sz w:val="17"/>
              </w:rPr>
              <w:t>Event</w:t>
            </w:r>
          </w:p>
        </w:tc>
        <w:tc>
          <w:tcPr>
            <w:tcW w:type="dxa" w:w="2412"/>
          </w:tcPr>
          <w:p>
            <w:r>
              <w:rPr>
                <w:b/>
                <w:sz w:val="17"/>
              </w:rPr>
              <w:t>Note</w:t>
            </w:r>
          </w:p>
        </w:tc>
      </w:tr>
      <w:tr>
        <w:tc>
          <w:tcPr>
            <w:tcW w:type="dxa" w:w="2412"/>
          </w:tcPr>
          <w:p>
            <w:r>
              <w:rPr>
                <w:sz w:val="17"/>
              </w:rPr>
              <w:t>2028-10-12</w:t>
            </w:r>
          </w:p>
        </w:tc>
        <w:tc>
          <w:tcPr>
            <w:tcW w:type="dxa" w:w="2412"/>
          </w:tcPr>
          <w:p>
            <w:r>
              <w:rPr>
                <w:sz w:val="17"/>
              </w:rPr>
              <w:t>—</w:t>
            </w:r>
          </w:p>
        </w:tc>
        <w:tc>
          <w:tcPr>
            <w:tcW w:type="dxa" w:w="2412"/>
          </w:tcPr>
          <w:p>
            <w:r>
              <w:rPr>
                <w:sz w:val="17"/>
              </w:rPr>
              <w:t>NDA submitted</w:t>
            </w:r>
          </w:p>
        </w:tc>
        <w:tc>
          <w:tcPr>
            <w:tcW w:type="dxa" w:w="2412"/>
          </w:tcPr>
          <w:p>
            <w:r>
              <w:rPr>
                <w:sz w:val="17"/>
              </w:rPr>
              <w:t>Clock not yet running. The 60-day filing review begins.</w:t>
            </w:r>
          </w:p>
        </w:tc>
      </w:tr>
      <w:tr>
        <w:tc>
          <w:tcPr>
            <w:tcW w:type="dxa" w:w="2412"/>
          </w:tcPr>
          <w:p>
            <w:r>
              <w:rPr>
                <w:sz w:val="17"/>
              </w:rPr>
              <w:t>2028-12-11</w:t>
            </w:r>
          </w:p>
        </w:tc>
        <w:tc>
          <w:tcPr>
            <w:tcW w:type="dxa" w:w="2412"/>
          </w:tcPr>
          <w:p>
            <w:r>
              <w:rPr>
                <w:sz w:val="17"/>
              </w:rPr>
              <w:t>Day 0</w:t>
            </w:r>
          </w:p>
        </w:tc>
        <w:tc>
          <w:tcPr>
            <w:tcW w:type="dxa" w:w="2412"/>
          </w:tcPr>
          <w:p>
            <w:r>
              <w:rPr>
                <w:sz w:val="17"/>
              </w:rPr>
              <w:t>Filing accepted — filing date</w:t>
            </w:r>
          </w:p>
        </w:tc>
        <w:tc>
          <w:tcPr>
            <w:tcW w:type="dxa" w:w="2412"/>
          </w:tcPr>
          <w:p>
            <w:r>
              <w:rPr>
                <w:sz w:val="17"/>
              </w:rPr>
              <w:t>Application judged sufficiently complete for substantive review. The 10-month review clock starts here, not at submission.</w:t>
            </w:r>
          </w:p>
        </w:tc>
      </w:tr>
      <w:tr>
        <w:tc>
          <w:tcPr>
            <w:tcW w:type="dxa" w:w="2412"/>
          </w:tcPr>
          <w:p>
            <w:r>
              <w:rPr>
                <w:sz w:val="17"/>
              </w:rPr>
              <w:t>2028-12-25</w:t>
            </w:r>
          </w:p>
        </w:tc>
        <w:tc>
          <w:tcPr>
            <w:tcW w:type="dxa" w:w="2412"/>
          </w:tcPr>
          <w:p>
            <w:r>
              <w:rPr>
                <w:sz w:val="17"/>
              </w:rPr>
              <w:t>Day 14</w:t>
            </w:r>
          </w:p>
        </w:tc>
        <w:tc>
          <w:tcPr>
            <w:tcW w:type="dxa" w:w="2412"/>
          </w:tcPr>
          <w:p>
            <w:r>
              <w:rPr>
                <w:sz w:val="17"/>
              </w:rPr>
              <w:t>Day 74 letter</w:t>
            </w:r>
          </w:p>
        </w:tc>
        <w:tc>
          <w:tcPr>
            <w:tcW w:type="dxa" w:w="2412"/>
          </w:tcPr>
          <w:p>
            <w:r>
              <w:rPr>
                <w:sz w:val="17"/>
              </w:rPr>
              <w:t>Review classification confirmed standard. Three review issues identified, all clinical pharmacology. No advisory committee planned.</w:t>
            </w:r>
          </w:p>
        </w:tc>
      </w:tr>
      <w:tr>
        <w:tc>
          <w:tcPr>
            <w:tcW w:type="dxa" w:w="2412"/>
          </w:tcPr>
          <w:p>
            <w:r>
              <w:rPr>
                <w:sz w:val="17"/>
              </w:rPr>
              <w:t>2029-02-20</w:t>
            </w:r>
          </w:p>
        </w:tc>
        <w:tc>
          <w:tcPr>
            <w:tcW w:type="dxa" w:w="2412"/>
          </w:tcPr>
          <w:p>
            <w:r>
              <w:rPr>
                <w:sz w:val="17"/>
              </w:rPr>
              <w:t>Day 71</w:t>
            </w:r>
          </w:p>
        </w:tc>
        <w:tc>
          <w:tcPr>
            <w:tcW w:type="dxa" w:w="2412"/>
          </w:tcPr>
          <w:p>
            <w:r>
              <w:rPr>
                <w:sz w:val="17"/>
              </w:rPr>
              <w:t>Information request — clinical pharmacology</w:t>
            </w:r>
          </w:p>
        </w:tc>
        <w:tc>
          <w:tcPr>
            <w:tcW w:type="dxa" w:w="2412"/>
          </w:tcPr>
          <w:p>
            <w:r>
              <w:rPr>
                <w:sz w:val="17"/>
              </w:rPr>
              <w:t>Additional exposure-response analysis in the highest BMI quartile. Responded in 11 days.</w:t>
            </w:r>
          </w:p>
        </w:tc>
      </w:tr>
      <w:tr>
        <w:tc>
          <w:tcPr>
            <w:tcW w:type="dxa" w:w="2412"/>
          </w:tcPr>
          <w:p>
            <w:r>
              <w:rPr>
                <w:sz w:val="17"/>
              </w:rPr>
              <w:t>2029-05-08</w:t>
            </w:r>
          </w:p>
        </w:tc>
        <w:tc>
          <w:tcPr>
            <w:tcW w:type="dxa" w:w="2412"/>
          </w:tcPr>
          <w:p>
            <w:r>
              <w:rPr>
                <w:sz w:val="17"/>
              </w:rPr>
              <w:t>Day 148</w:t>
            </w:r>
          </w:p>
        </w:tc>
        <w:tc>
          <w:tcPr>
            <w:tcW w:type="dxa" w:w="2412"/>
          </w:tcPr>
          <w:p>
            <w:r>
              <w:rPr>
                <w:sz w:val="17"/>
              </w:rPr>
              <w:t>Mid-cycle communication</w:t>
            </w:r>
          </w:p>
        </w:tc>
        <w:tc>
          <w:tcPr>
            <w:tcW w:type="dxa" w:w="2412"/>
          </w:tcPr>
          <w:p>
            <w:r>
              <w:rPr>
                <w:sz w:val="17"/>
              </w:rPr>
              <w:t>Review team's internal assessment shared. No major deficiencies. Labeling discussion opened.</w:t>
            </w:r>
          </w:p>
        </w:tc>
      </w:tr>
      <w:tr>
        <w:tc>
          <w:tcPr>
            <w:tcW w:type="dxa" w:w="2412"/>
          </w:tcPr>
          <w:p>
            <w:r>
              <w:rPr>
                <w:sz w:val="17"/>
              </w:rPr>
              <w:t>2029-06-12</w:t>
            </w:r>
          </w:p>
        </w:tc>
        <w:tc>
          <w:tcPr>
            <w:tcW w:type="dxa" w:w="2412"/>
          </w:tcPr>
          <w:p>
            <w:r>
              <w:rPr>
                <w:sz w:val="17"/>
              </w:rPr>
              <w:t>Day 183</w:t>
            </w:r>
          </w:p>
        </w:tc>
        <w:tc>
          <w:tcPr>
            <w:tcW w:type="dxa" w:w="2412"/>
          </w:tcPr>
          <w:p>
            <w:r>
              <w:rPr>
                <w:sz w:val="17"/>
              </w:rPr>
              <w:t>Pre-approval inspection, Aldergate</w:t>
            </w:r>
          </w:p>
        </w:tc>
        <w:tc>
          <w:tcPr>
            <w:tcW w:type="dxa" w:w="2412"/>
          </w:tcPr>
          <w:p>
            <w:r>
              <w:rPr>
                <w:sz w:val="17"/>
              </w:rPr>
              <w:t>One Form 483 observation, environmental monitoring documentation. Responded within 15 working days.</w:t>
            </w:r>
          </w:p>
        </w:tc>
      </w:tr>
      <w:tr>
        <w:tc>
          <w:tcPr>
            <w:tcW w:type="dxa" w:w="2412"/>
          </w:tcPr>
          <w:p>
            <w:r>
              <w:rPr>
                <w:sz w:val="17"/>
              </w:rPr>
              <w:t>2029-07-10</w:t>
            </w:r>
          </w:p>
        </w:tc>
        <w:tc>
          <w:tcPr>
            <w:tcW w:type="dxa" w:w="2412"/>
          </w:tcPr>
          <w:p>
            <w:r>
              <w:rPr>
                <w:sz w:val="17"/>
              </w:rPr>
              <w:t>Day 211</w:t>
            </w:r>
          </w:p>
        </w:tc>
        <w:tc>
          <w:tcPr>
            <w:tcW w:type="dxa" w:w="2412"/>
          </w:tcPr>
          <w:p>
            <w:r>
              <w:rPr>
                <w:sz w:val="17"/>
              </w:rPr>
              <w:t>Information request — CMC</w:t>
            </w:r>
          </w:p>
        </w:tc>
        <w:tc>
          <w:tcPr>
            <w:tcW w:type="dxa" w:w="2412"/>
          </w:tcPr>
          <w:p>
            <w:r>
              <w:rPr>
                <w:sz w:val="17"/>
              </w:rPr>
              <w:t>Clarification on the purity method transfer protocol. Responded in 6 days.</w:t>
            </w:r>
          </w:p>
        </w:tc>
      </w:tr>
      <w:tr>
        <w:tc>
          <w:tcPr>
            <w:tcW w:type="dxa" w:w="2412"/>
          </w:tcPr>
          <w:p>
            <w:r>
              <w:rPr>
                <w:sz w:val="17"/>
              </w:rPr>
              <w:t>2029-08-14</w:t>
            </w:r>
          </w:p>
        </w:tc>
        <w:tc>
          <w:tcPr>
            <w:tcW w:type="dxa" w:w="2412"/>
          </w:tcPr>
          <w:p>
            <w:r>
              <w:rPr>
                <w:sz w:val="17"/>
              </w:rPr>
              <w:t>Day 246</w:t>
            </w:r>
          </w:p>
        </w:tc>
        <w:tc>
          <w:tcPr>
            <w:tcW w:type="dxa" w:w="2412"/>
          </w:tcPr>
          <w:p>
            <w:r>
              <w:rPr>
                <w:sz w:val="17"/>
              </w:rPr>
              <w:t>Proposed labeling returned with agency markup</w:t>
            </w:r>
          </w:p>
        </w:tc>
        <w:tc>
          <w:tcPr>
            <w:tcW w:type="dxa" w:w="2412"/>
          </w:tcPr>
          <w:p>
            <w:r>
              <w:rPr>
                <w:sz w:val="17"/>
              </w:rPr>
              <w:t>The negotiation begins. Comparative tolerability language struck.</w:t>
            </w:r>
          </w:p>
        </w:tc>
      </w:tr>
      <w:tr>
        <w:tc>
          <w:tcPr>
            <w:tcW w:type="dxa" w:w="2412"/>
          </w:tcPr>
          <w:p>
            <w:r>
              <w:rPr>
                <w:sz w:val="17"/>
              </w:rPr>
              <w:t>2029-09-11</w:t>
            </w:r>
          </w:p>
        </w:tc>
        <w:tc>
          <w:tcPr>
            <w:tcW w:type="dxa" w:w="2412"/>
          </w:tcPr>
          <w:p>
            <w:r>
              <w:rPr>
                <w:sz w:val="17"/>
              </w:rPr>
              <w:t>Day 274</w:t>
            </w:r>
          </w:p>
        </w:tc>
        <w:tc>
          <w:tcPr>
            <w:tcW w:type="dxa" w:w="2412"/>
          </w:tcPr>
          <w:p>
            <w:r>
              <w:rPr>
                <w:sz w:val="17"/>
              </w:rPr>
              <w:t>Late-cycle meeting</w:t>
            </w:r>
          </w:p>
        </w:tc>
        <w:tc>
          <w:tcPr>
            <w:tcW w:type="dxa" w:w="2412"/>
          </w:tcPr>
          <w:p>
            <w:r>
              <w:rPr>
                <w:sz w:val="17"/>
              </w:rPr>
              <w:t>Remaining labeling differences, post-marketing requirements, inspection status.</w:t>
            </w:r>
          </w:p>
        </w:tc>
      </w:tr>
      <w:tr>
        <w:tc>
          <w:tcPr>
            <w:tcW w:type="dxa" w:w="2412"/>
          </w:tcPr>
          <w:p>
            <w:r>
              <w:rPr>
                <w:sz w:val="17"/>
              </w:rPr>
              <w:t>2029-09-25</w:t>
            </w:r>
          </w:p>
        </w:tc>
        <w:tc>
          <w:tcPr>
            <w:tcW w:type="dxa" w:w="2412"/>
          </w:tcPr>
          <w:p>
            <w:r>
              <w:rPr>
                <w:sz w:val="17"/>
              </w:rPr>
              <w:t>Day 288</w:t>
            </w:r>
          </w:p>
        </w:tc>
        <w:tc>
          <w:tcPr>
            <w:tcW w:type="dxa" w:w="2412"/>
          </w:tcPr>
          <w:p>
            <w:r>
              <w:rPr>
                <w:sz w:val="17"/>
              </w:rPr>
              <w:t>Labeling agreed</w:t>
            </w:r>
          </w:p>
        </w:tc>
        <w:tc>
          <w:tcPr>
            <w:tcW w:type="dxa" w:w="2412"/>
          </w:tcPr>
          <w:p>
            <w:r>
              <w:rPr>
                <w:sz w:val="17"/>
              </w:rPr>
              <w:t>Final Section 6 language settled.</w:t>
            </w:r>
          </w:p>
        </w:tc>
      </w:tr>
      <w:tr>
        <w:tc>
          <w:tcPr>
            <w:tcW w:type="dxa" w:w="2412"/>
          </w:tcPr>
          <w:p>
            <w:r>
              <w:rPr>
                <w:sz w:val="17"/>
              </w:rPr>
              <w:t>2029-10-05</w:t>
            </w:r>
          </w:p>
        </w:tc>
        <w:tc>
          <w:tcPr>
            <w:tcW w:type="dxa" w:w="2412"/>
          </w:tcPr>
          <w:p>
            <w:r>
              <w:rPr>
                <w:sz w:val="17"/>
              </w:rPr>
              <w:t>Day 298</w:t>
            </w:r>
          </w:p>
        </w:tc>
        <w:tc>
          <w:tcPr>
            <w:tcW w:type="dxa" w:w="2412"/>
          </w:tcPr>
          <w:p>
            <w:r>
              <w:rPr>
                <w:sz w:val="17"/>
              </w:rPr>
              <w:t>Approval</w:t>
            </w:r>
          </w:p>
        </w:tc>
        <w:tc>
          <w:tcPr>
            <w:tcW w:type="dxa" w:w="2412"/>
          </w:tcPr>
          <w:p>
            <w:r>
              <w:rPr>
                <w:sz w:val="17"/>
              </w:rPr>
              <w:t>Six days ahead of the action date.</w:t>
            </w:r>
          </w:p>
        </w:tc>
      </w:tr>
    </w:tbl>
    <w:p/>
    <w:p>
      <w:pPr>
        <w:spacing w:before="120"/>
        <w:ind w:left="360"/>
      </w:pPr>
      <w:r>
        <w:rPr>
          <w:i/>
          <w:color w:val="12304A"/>
          <w:sz w:val="20"/>
        </w:rPr>
        <w:t>Approval came on 2029-10-05, six days ahead of the 11 October 2029 action date. That is not a program achievement — the agency completed its review slightly early. The program's contribution was narrower and is set out at §3: it did not give the agency a reason to take longer.</w:t>
      </w:r>
    </w:p>
    <w:p>
      <w:pPr>
        <w:spacing w:before="320"/>
      </w:pPr>
      <w:r>
        <w:rPr>
          <w:b/>
          <w:color w:val="12304A"/>
          <w:sz w:val="28"/>
        </w:rPr>
        <w:t>2. What the Program Could and Could Not Control</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t>Controlled by</w:t>
            </w:r>
          </w:p>
        </w:tc>
      </w:tr>
      <w:tr>
        <w:tc>
          <w:tcPr>
            <w:tcW w:type="dxa" w:w="4824"/>
          </w:tcPr>
          <w:p>
            <w:r>
              <w:rPr>
                <w:sz w:val="17"/>
              </w:rPr>
              <w:t>Whether a review question is asked</w:t>
            </w:r>
          </w:p>
        </w:tc>
        <w:tc>
          <w:tcPr>
            <w:tcW w:type="dxa" w:w="4824"/>
          </w:tcPr>
          <w:p>
            <w:r>
              <w:rPr>
                <w:sz w:val="17"/>
              </w:rPr>
              <w:t>The agency</w:t>
            </w:r>
          </w:p>
        </w:tc>
      </w:tr>
      <w:tr>
        <w:tc>
          <w:tcPr>
            <w:tcW w:type="dxa" w:w="4824"/>
          </w:tcPr>
          <w:p>
            <w:r>
              <w:rPr>
                <w:sz w:val="17"/>
              </w:rPr>
              <w:t>When it is asked</w:t>
            </w:r>
          </w:p>
        </w:tc>
        <w:tc>
          <w:tcPr>
            <w:tcW w:type="dxa" w:w="4824"/>
          </w:tcPr>
          <w:p>
            <w:r>
              <w:rPr>
                <w:sz w:val="17"/>
              </w:rPr>
              <w:t>The agency</w:t>
            </w:r>
          </w:p>
        </w:tc>
      </w:tr>
      <w:tr>
        <w:tc>
          <w:tcPr>
            <w:tcW w:type="dxa" w:w="4824"/>
          </w:tcPr>
          <w:p>
            <w:r>
              <w:rPr>
                <w:sz w:val="17"/>
              </w:rPr>
              <w:t>The action date</w:t>
            </w:r>
          </w:p>
        </w:tc>
        <w:tc>
          <w:tcPr>
            <w:tcW w:type="dxa" w:w="4824"/>
          </w:tcPr>
          <w:p>
            <w:r>
              <w:rPr>
                <w:sz w:val="17"/>
              </w:rPr>
              <w:t>Statute — ten months from submission for a standard NME review</w:t>
            </w:r>
          </w:p>
        </w:tc>
      </w:tr>
      <w:tr>
        <w:tc>
          <w:tcPr>
            <w:tcW w:type="dxa" w:w="4824"/>
          </w:tcPr>
          <w:p>
            <w:r>
              <w:rPr>
                <w:sz w:val="17"/>
              </w:rPr>
              <w:t>Whether an advisory committee is convened</w:t>
            </w:r>
          </w:p>
        </w:tc>
        <w:tc>
          <w:tcPr>
            <w:tcW w:type="dxa" w:w="4824"/>
          </w:tcPr>
          <w:p>
            <w:r>
              <w:rPr>
                <w:sz w:val="17"/>
              </w:rPr>
              <w:t>The agency</w:t>
            </w:r>
          </w:p>
        </w:tc>
      </w:tr>
      <w:tr>
        <w:tc>
          <w:tcPr>
            <w:tcW w:type="dxa" w:w="4824"/>
          </w:tcPr>
          <w:p>
            <w:r>
              <w:rPr>
                <w:sz w:val="17"/>
              </w:rPr>
              <w:t>How quickly a question is answered</w:t>
            </w:r>
          </w:p>
        </w:tc>
        <w:tc>
          <w:tcPr>
            <w:tcW w:type="dxa" w:w="4824"/>
          </w:tcPr>
          <w:p>
            <w:r>
              <w:rPr>
                <w:sz w:val="17"/>
              </w:rPr>
              <w:t>The sponsor</w:t>
            </w:r>
          </w:p>
        </w:tc>
      </w:tr>
      <w:tr>
        <w:tc>
          <w:tcPr>
            <w:tcW w:type="dxa" w:w="4824"/>
          </w:tcPr>
          <w:p>
            <w:r>
              <w:rPr>
                <w:sz w:val="17"/>
              </w:rPr>
              <w:t>How well it is answered</w:t>
            </w:r>
          </w:p>
        </w:tc>
        <w:tc>
          <w:tcPr>
            <w:tcW w:type="dxa" w:w="4824"/>
          </w:tcPr>
          <w:p>
            <w:r>
              <w:rPr>
                <w:sz w:val="17"/>
              </w:rPr>
              <w:t>The sponsor</w:t>
            </w:r>
          </w:p>
        </w:tc>
      </w:tr>
      <w:tr>
        <w:tc>
          <w:tcPr>
            <w:tcW w:type="dxa" w:w="4824"/>
          </w:tcPr>
          <w:p>
            <w:r>
              <w:rPr>
                <w:sz w:val="17"/>
              </w:rPr>
              <w:t>Whether the submission invited the question at all</w:t>
            </w:r>
          </w:p>
        </w:tc>
        <w:tc>
          <w:tcPr>
            <w:tcW w:type="dxa" w:w="4824"/>
          </w:tcPr>
          <w:p>
            <w:r>
              <w:rPr>
                <w:sz w:val="17"/>
              </w:rPr>
              <w:t>The sponsor — years earlier</w:t>
            </w:r>
          </w:p>
        </w:tc>
      </w:tr>
    </w:tbl>
    <w:p/>
    <w:p>
      <w:pPr>
        <w:spacing w:before="120"/>
        <w:ind w:left="360"/>
      </w:pPr>
      <w:r>
        <w:rPr>
          <w:i/>
          <w:color w:val="12304A"/>
          <w:sz w:val="20"/>
        </w:rPr>
        <w:t>The last row is the one that matters most and is the least visible. By the time a review question arrives, the ability to prevent it is long gone. The question exists because of a choice made when the study was designed, the analysis was specified, or the submission was assembled.</w:t>
      </w:r>
    </w:p>
    <w:p>
      <w:pPr>
        <w:spacing w:before="120"/>
        <w:ind w:left="360"/>
      </w:pPr>
      <w:r>
        <w:rPr>
          <w:i/>
          <w:color w:val="12304A"/>
          <w:sz w:val="20"/>
        </w:rPr>
        <w:t>The clinical pharmacology request at day 42 — additional exposure-response analysis in the highest BMI quartile — is a clean example. It was answerable in eleven days because the data existed and the analysis was straightforward. Had the pivotal program not stratified adequately, the same question would have been unanswerable, and unanswerable questions during review do not get waived. They get answered with new work, which is a major amendment, and a major amendment adds three months to the clock.</w:t>
      </w:r>
    </w:p>
    <w:p>
      <w:pPr>
        <w:spacing w:before="320"/>
      </w:pPr>
      <w:r>
        <w:rPr>
          <w:b/>
          <w:color w:val="12304A"/>
          <w:sz w:val="28"/>
        </w:rPr>
        <w:t>3. Information Requests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Value</w:t>
            </w:r>
          </w:p>
        </w:tc>
      </w:tr>
      <w:tr>
        <w:tc>
          <w:tcPr>
            <w:tcW w:type="dxa" w:w="4824"/>
          </w:tcPr>
          <w:p>
            <w:r>
              <w:rPr>
                <w:sz w:val="17"/>
              </w:rPr>
              <w:t>Total requests</w:t>
            </w:r>
          </w:p>
        </w:tc>
        <w:tc>
          <w:tcPr>
            <w:tcW w:type="dxa" w:w="4824"/>
          </w:tcPr>
          <w:p>
            <w:r>
              <w:rPr>
                <w:sz w:val="17"/>
              </w:rPr>
              <w:t>7</w:t>
            </w:r>
          </w:p>
        </w:tc>
      </w:tr>
      <w:tr>
        <w:tc>
          <w:tcPr>
            <w:tcW w:type="dxa" w:w="4824"/>
          </w:tcPr>
          <w:p>
            <w:r>
              <w:rPr>
                <w:sz w:val="17"/>
              </w:rPr>
              <w:t>Clinical</w:t>
            </w:r>
          </w:p>
        </w:tc>
        <w:tc>
          <w:tcPr>
            <w:tcW w:type="dxa" w:w="4824"/>
          </w:tcPr>
          <w:p>
            <w:r>
              <w:rPr>
                <w:sz w:val="17"/>
              </w:rPr>
              <w:t>3</w:t>
            </w:r>
          </w:p>
        </w:tc>
      </w:tr>
      <w:tr>
        <w:tc>
          <w:tcPr>
            <w:tcW w:type="dxa" w:w="4824"/>
          </w:tcPr>
          <w:p>
            <w:r>
              <w:rPr>
                <w:sz w:val="17"/>
              </w:rPr>
              <w:t>CMC</w:t>
            </w:r>
          </w:p>
        </w:tc>
        <w:tc>
          <w:tcPr>
            <w:tcW w:type="dxa" w:w="4824"/>
          </w:tcPr>
          <w:p>
            <w:r>
              <w:rPr>
                <w:sz w:val="17"/>
              </w:rPr>
              <w:t>2</w:t>
            </w:r>
          </w:p>
        </w:tc>
      </w:tr>
      <w:tr>
        <w:tc>
          <w:tcPr>
            <w:tcW w:type="dxa" w:w="4824"/>
          </w:tcPr>
          <w:p>
            <w:r>
              <w:rPr>
                <w:sz w:val="17"/>
              </w:rPr>
              <w:t>Clinical pharmacology</w:t>
            </w:r>
          </w:p>
        </w:tc>
        <w:tc>
          <w:tcPr>
            <w:tcW w:type="dxa" w:w="4824"/>
          </w:tcPr>
          <w:p>
            <w:r>
              <w:rPr>
                <w:sz w:val="17"/>
              </w:rPr>
              <w:t>1</w:t>
            </w:r>
          </w:p>
        </w:tc>
      </w:tr>
      <w:tr>
        <w:tc>
          <w:tcPr>
            <w:tcW w:type="dxa" w:w="4824"/>
          </w:tcPr>
          <w:p>
            <w:r>
              <w:rPr>
                <w:sz w:val="17"/>
              </w:rPr>
              <w:t>Labeling</w:t>
            </w:r>
          </w:p>
        </w:tc>
        <w:tc>
          <w:tcPr>
            <w:tcW w:type="dxa" w:w="4824"/>
          </w:tcPr>
          <w:p>
            <w:r>
              <w:rPr>
                <w:sz w:val="17"/>
              </w:rPr>
              <w:t>1</w:t>
            </w:r>
          </w:p>
        </w:tc>
      </w:tr>
      <w:tr>
        <w:tc>
          <w:tcPr>
            <w:tcW w:type="dxa" w:w="4824"/>
          </w:tcPr>
          <w:p>
            <w:r>
              <w:rPr>
                <w:sz w:val="17"/>
              </w:rPr>
              <w:t>Median response time</w:t>
            </w:r>
          </w:p>
        </w:tc>
        <w:tc>
          <w:tcPr>
            <w:tcW w:type="dxa" w:w="4824"/>
          </w:tcPr>
          <w:p>
            <w:r>
              <w:rPr>
                <w:sz w:val="17"/>
              </w:rPr>
              <w:t>9 days</w:t>
            </w:r>
          </w:p>
        </w:tc>
      </w:tr>
      <w:tr>
        <w:tc>
          <w:tcPr>
            <w:tcW w:type="dxa" w:w="4824"/>
          </w:tcPr>
          <w:p>
            <w:r>
              <w:rPr>
                <w:sz w:val="17"/>
              </w:rPr>
              <w:t>Longest response</w:t>
            </w:r>
          </w:p>
        </w:tc>
        <w:tc>
          <w:tcPr>
            <w:tcW w:type="dxa" w:w="4824"/>
          </w:tcPr>
          <w:p>
            <w:r>
              <w:rPr>
                <w:sz w:val="17"/>
              </w:rPr>
              <w:t>11 days</w:t>
            </w:r>
          </w:p>
        </w:tc>
      </w:tr>
      <w:tr>
        <w:tc>
          <w:tcPr>
            <w:tcW w:type="dxa" w:w="4824"/>
          </w:tcPr>
          <w:p>
            <w:r>
              <w:rPr>
                <w:sz w:val="17"/>
              </w:rPr>
              <w:t>Major amendments filed</w:t>
            </w:r>
          </w:p>
        </w:tc>
        <w:tc>
          <w:tcPr>
            <w:tcW w:type="dxa" w:w="4824"/>
          </w:tcPr>
          <w:p>
            <w:r>
              <w:rPr>
                <w:sz w:val="17"/>
              </w:rPr>
              <w:t>0</w:t>
            </w:r>
          </w:p>
        </w:tc>
      </w:tr>
    </w:tbl>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Principle</w:t>
            </w:r>
          </w:p>
        </w:tc>
        <w:tc>
          <w:tcPr>
            <w:tcW w:type="dxa" w:w="4824"/>
          </w:tcPr>
          <w:p>
            <w:r>
              <w:rPr>
                <w:b/>
                <w:sz w:val="17"/>
              </w:rPr>
              <w:t>Why</w:t>
            </w:r>
          </w:p>
        </w:tc>
      </w:tr>
      <w:tr>
        <w:tc>
          <w:tcPr>
            <w:tcW w:type="dxa" w:w="4824"/>
          </w:tcPr>
          <w:p>
            <w:r>
              <w:rPr>
                <w:sz w:val="17"/>
              </w:rPr>
              <w:t>A slow answer is a self-inflicted delay</w:t>
            </w:r>
          </w:p>
        </w:tc>
        <w:tc>
          <w:tcPr>
            <w:tcW w:type="dxa" w:w="4824"/>
          </w:tcPr>
          <w:p>
            <w:r>
              <w:rPr>
                <w:sz w:val="17"/>
              </w:rPr>
              <w:t>The agency's clock does not stop while a sponsor prepares a response. Every day spent answering is a day of review time consumed.</w:t>
            </w:r>
          </w:p>
        </w:tc>
      </w:tr>
      <w:tr>
        <w:tc>
          <w:tcPr>
            <w:tcW w:type="dxa" w:w="4824"/>
          </w:tcPr>
          <w:p>
            <w:r>
              <w:rPr>
                <w:sz w:val="17"/>
              </w:rPr>
              <w:t>A bad answer is worse than a slow one</w:t>
            </w:r>
          </w:p>
        </w:tc>
        <w:tc>
          <w:tcPr>
            <w:tcW w:type="dxa" w:w="4824"/>
          </w:tcPr>
          <w:p>
            <w:r>
              <w:rPr>
                <w:sz w:val="17"/>
              </w:rPr>
              <w:t>A response that generates a follow-up question has cost two exchanges instead of one.</w:t>
            </w:r>
          </w:p>
        </w:tc>
      </w:tr>
      <w:tr>
        <w:tc>
          <w:tcPr>
            <w:tcW w:type="dxa" w:w="4824"/>
          </w:tcPr>
          <w:p>
            <w:r>
              <w:rPr>
                <w:sz w:val="17"/>
              </w:rPr>
              <w:t>A major amendment extends the clock by three months</w:t>
            </w:r>
          </w:p>
        </w:tc>
        <w:tc>
          <w:tcPr>
            <w:tcW w:type="dxa" w:w="4824"/>
          </w:tcPr>
          <w:p>
            <w:r>
              <w:rPr>
                <w:sz w:val="17"/>
              </w:rPr>
              <w:t>Submitting substantial new data or analysis during review can reset the action date. This program filed none — and avoiding one is largely a function of what was in the original submission, not of how the review was managed.</w:t>
            </w:r>
          </w:p>
        </w:tc>
      </w:tr>
      <w:tr>
        <w:tc>
          <w:tcPr>
            <w:tcW w:type="dxa" w:w="4824"/>
          </w:tcPr>
          <w:p>
            <w:r>
              <w:rPr>
                <w:sz w:val="17"/>
              </w:rPr>
              <w:t>The sponsor controls quality and speed, not the timetable</w:t>
            </w:r>
          </w:p>
        </w:tc>
        <w:tc>
          <w:tcPr>
            <w:tcW w:type="dxa" w:w="4824"/>
          </w:tcPr>
          <w:p>
            <w:r>
              <w:rPr>
                <w:sz w:val="17"/>
              </w:rPr>
              <w:t>Everything in the review period that the program influences runs through those two variables.</w:t>
            </w:r>
          </w:p>
        </w:tc>
      </w:tr>
    </w:tbl>
    <w:p/>
    <w:p>
      <w:pPr>
        <w:spacing w:before="120"/>
        <w:ind w:left="360"/>
      </w:pPr>
      <w:r>
        <w:rPr>
          <w:i/>
          <w:color w:val="12304A"/>
          <w:sz w:val="20"/>
        </w:rPr>
        <w:t>Zero major amendments is the number to point at, and the credit belongs upstream.</w:t>
      </w:r>
    </w:p>
    <w:p>
      <w:pPr>
        <w:spacing w:before="120"/>
        <w:ind w:left="360"/>
      </w:pPr>
      <w:r>
        <w:rPr>
          <w:i/>
          <w:color w:val="12304A"/>
          <w:sz w:val="20"/>
        </w:rPr>
        <w:t>A major amendment — substantial new data or analysis submitted during review — extends the action date by three months. It is the single largest schedule risk in the review period, and it is almost entirely determined before the review starts. A submission that anticipated its reviewer's questions produces requests answerable from existing data. A submission that did not produces requests answerable only with new work.</w:t>
      </w:r>
    </w:p>
    <w:p>
      <w:pPr>
        <w:spacing w:before="120"/>
        <w:ind w:left="360"/>
      </w:pPr>
      <w:r>
        <w:rPr>
          <w:i/>
          <w:color w:val="12304A"/>
          <w:sz w:val="20"/>
        </w:rPr>
        <w:t>The pre-NDA meeting in August 2028, and the End-of-Phase-2 meeting two years before it, are where that outcome was actually decided. By the review period the program was collecting a result, not producing one.</w:t>
      </w:r>
    </w:p>
    <w:p>
      <w:pPr>
        <w:spacing w:before="320"/>
      </w:pPr>
      <w:r>
        <w:rPr>
          <w:b/>
          <w:color w:val="12304A"/>
          <w:sz w:val="28"/>
        </w:rPr>
        <w:t>4. The Pre-Approval Inspection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Position</w:t>
            </w:r>
          </w:p>
        </w:tc>
      </w:tr>
      <w:tr>
        <w:tc>
          <w:tcPr>
            <w:tcW w:type="dxa" w:w="4824"/>
          </w:tcPr>
          <w:p>
            <w:r>
              <w:rPr>
                <w:sz w:val="17"/>
              </w:rPr>
              <w:t>Date</w:t>
            </w:r>
          </w:p>
        </w:tc>
        <w:tc>
          <w:tcPr>
            <w:tcW w:type="dxa" w:w="4824"/>
          </w:tcPr>
          <w:p>
            <w:r>
              <w:rPr>
                <w:sz w:val="17"/>
              </w:rPr>
              <w:t>2029-06-12, review day 65</w:t>
            </w:r>
          </w:p>
        </w:tc>
      </w:tr>
      <w:tr>
        <w:tc>
          <w:tcPr>
            <w:tcW w:type="dxa" w:w="4824"/>
          </w:tcPr>
          <w:p>
            <w:r>
              <w:rPr>
                <w:sz w:val="17"/>
              </w:rPr>
              <w:t>Site</w:t>
            </w:r>
          </w:p>
        </w:tc>
        <w:tc>
          <w:tcPr>
            <w:tcW w:type="dxa" w:w="4824"/>
          </w:tcPr>
          <w:p>
            <w:r>
              <w:rPr>
                <w:sz w:val="17"/>
              </w:rPr>
              <w:t>Aldergate Biologics — drug substance and drug product</w:t>
            </w:r>
          </w:p>
        </w:tc>
      </w:tr>
      <w:tr>
        <w:tc>
          <w:tcPr>
            <w:tcW w:type="dxa" w:w="4824"/>
          </w:tcPr>
          <w:p>
            <w:r>
              <w:rPr>
                <w:sz w:val="17"/>
              </w:rPr>
              <w:t>Form 483 observations</w:t>
            </w:r>
          </w:p>
        </w:tc>
        <w:tc>
          <w:tcPr>
            <w:tcW w:type="dxa" w:w="4824"/>
          </w:tcPr>
          <w:p>
            <w:r>
              <w:rPr>
                <w:sz w:val="17"/>
              </w:rPr>
              <w:t>1</w:t>
            </w:r>
          </w:p>
        </w:tc>
      </w:tr>
      <w:tr>
        <w:tc>
          <w:tcPr>
            <w:tcW w:type="dxa" w:w="4824"/>
          </w:tcPr>
          <w:p>
            <w:r>
              <w:rPr>
                <w:sz w:val="17"/>
              </w:rPr>
              <w:t>Subject</w:t>
            </w:r>
          </w:p>
        </w:tc>
        <w:tc>
          <w:tcPr>
            <w:tcW w:type="dxa" w:w="4824"/>
          </w:tcPr>
          <w:p>
            <w:r>
              <w:rPr>
                <w:sz w:val="17"/>
              </w:rPr>
              <w:t>Environmental monitoring documentation</w:t>
            </w:r>
          </w:p>
        </w:tc>
      </w:tr>
      <w:tr>
        <w:tc>
          <w:tcPr>
            <w:tcW w:type="dxa" w:w="4824"/>
          </w:tcPr>
          <w:p>
            <w:r>
              <w:rPr>
                <w:sz w:val="17"/>
              </w:rPr>
              <w:t>Response</w:t>
            </w:r>
          </w:p>
        </w:tc>
        <w:tc>
          <w:tcPr>
            <w:tcW w:type="dxa" w:w="4824"/>
          </w:tcPr>
          <w:p>
            <w:r>
              <w:rPr>
                <w:sz w:val="17"/>
              </w:rPr>
              <w:t>Within 15 working days</w:t>
            </w:r>
          </w:p>
        </w:tc>
      </w:tr>
      <w:tr>
        <w:tc>
          <w:tcPr>
            <w:tcW w:type="dxa" w:w="4824"/>
          </w:tcPr>
          <w:p>
            <w:r>
              <w:rPr>
                <w:sz w:val="17"/>
              </w:rPr>
              <w:t>Status at action date</w:t>
            </w:r>
          </w:p>
        </w:tc>
        <w:tc>
          <w:tcPr>
            <w:tcW w:type="dxa" w:w="4824"/>
          </w:tcPr>
          <w:p>
            <w:r>
              <w:rPr>
                <w:sz w:val="17"/>
              </w:rPr>
              <w:t>closed</w:t>
            </w:r>
          </w:p>
        </w:tc>
      </w:tr>
    </w:tbl>
    <w:p/>
    <w:p>
      <w:r>
        <w:t>One Form 483 observation at Aldergate concerning environmental monitoring documentation. Responded within 15 working days; closed before the action date.</w:t>
      </w:r>
    </w:p>
    <w:p>
      <w:pPr>
        <w:spacing w:before="120"/>
        <w:ind w:left="360"/>
      </w:pPr>
      <w:r>
        <w:rPr>
          <w:i/>
          <w:color w:val="12304A"/>
          <w:sz w:val="20"/>
        </w:rPr>
        <w:t>One observation is a good inspection outcome, and zero would have been a slightly odd one. As the Process Validation Plan §6 notes, inspectors read investigations more closely than successes, and a facility with no findings across a multi-day inspection of a first commercial process invites a question about the depth of the inspection rather than confidence in the site.</w:t>
      </w:r>
    </w:p>
    <w:p>
      <w:pPr>
        <w:spacing w:before="120"/>
        <w:ind w:left="360"/>
      </w:pPr>
      <w:r>
        <w:rPr>
          <w:i/>
          <w:color w:val="12304A"/>
          <w:sz w:val="20"/>
        </w:rPr>
        <w:t>What matters is the category. A documentation observation is a systems finding: something was done and inadequately recorded. A data integrity observation, or one going to the validity of the process itself, would have sat on the critical path to approval and could have moved the action date. This one did not.</w:t>
      </w:r>
    </w:p>
    <w:p>
      <w:r>
        <w:t>The observation is also the reason R-07 in the RAID Log was rated Low rather than dismissed. The risk was never that Aldergate would fail an inspection; it was that a finding of the wrong category would arrive with no time to remediate it. Fifteen working days of response capacity, held in reserve for exactly that, is what made the difference between an observation and a problem.</w:t>
      </w:r>
    </w:p>
    <w:p>
      <w:pPr>
        <w:spacing w:before="320"/>
      </w:pPr>
      <w:r>
        <w:rPr>
          <w:b/>
          <w:color w:val="12304A"/>
          <w:sz w:val="28"/>
        </w:rPr>
        <w:t>5. Labeling</w:t>
      </w:r>
    </w:p>
    <w:p>
      <w:r>
        <w:t>Labeling negotiation opened at the mid-cycle communication and settled on 2029-09-25, fifteen days before approval.</w:t>
      </w:r>
    </w:p>
    <w:p>
      <w:pPr>
        <w:pStyle w:val="ListBullet"/>
      </w:pPr>
      <w:r>
        <w:t>Class boxed warning for thyroid C-cell tumors carried, as planned (D-07).</w:t>
      </w:r>
    </w:p>
    <w:p>
      <w:pPr>
        <w:pStyle w:val="ListBullet"/>
      </w:pPr>
      <w:r>
        <w:t>No REMS required — the position held.</w:t>
      </w:r>
    </w:p>
    <w:p>
      <w:pPr>
        <w:pStyle w:val="ListBullet"/>
      </w:pPr>
      <w:r>
        <w:t>Indication granted for BMI ≥30, or ≥27 with at least one comorbidity — the full population sought.</w:t>
      </w:r>
    </w:p>
    <w:p>
      <w:pPr>
        <w:pStyle w:val="ListBullet"/>
      </w:pPr>
      <w:r>
        <w:t>Tolerability language in Section 6 is descriptive. No comparative tolerability claim was granted, which is the commercially significant outcome.</w:t>
      </w:r>
    </w:p>
    <w:p>
      <w:pPr>
        <w:spacing w:before="120"/>
        <w:ind w:left="360"/>
      </w:pPr>
      <w:r>
        <w:rPr>
          <w:i/>
          <w:color w:val="12304A"/>
          <w:sz w:val="20"/>
        </w:rPr>
        <w:t>The fourth outcome is the commercially significant one, and it should surprise nobody reading this suite in order.</w:t>
      </w:r>
    </w:p>
    <w:p>
      <w:pPr>
        <w:spacing w:before="120"/>
        <w:ind w:left="360"/>
      </w:pPr>
      <w:r>
        <w:rPr>
          <w:i/>
          <w:color w:val="12304A"/>
          <w:sz w:val="20"/>
        </w:rPr>
        <w:t>Tolerability language in Section 6 is descriptive. No comparative claim was granted. The agency struck the proposed comparative language at day 98 and the sponsor did not contest it — consistent with the position Gate 5 §5 had already taken on regulatory advice.</w:t>
      </w:r>
    </w:p>
    <w:p>
      <w:pPr>
        <w:spacing w:before="120"/>
        <w:ind w:left="360"/>
      </w:pPr>
      <w:r>
        <w:rPr>
          <w:i/>
          <w:color w:val="12304A"/>
          <w:sz w:val="20"/>
        </w:rPr>
        <w:t>The causal chain runs back four years: the endpoint hierarchy fixed GI discontinuation fourth at protocol finalization, which capped its statistical standing, which meant the 68-week result — 6.4%, inside the minimum but below target — could support a description but never a claim. Every step in that chain was correct in isolation. The outcome was determined years before anyone negotiated a word of labeling.</w:t>
      </w:r>
    </w:p>
    <w:p>
      <w:r>
        <w:t>The boxed warning and the full indication both landed as planned. Getting the whole sought population — BMI ≥30, or ≥27 with a comorbidity — is a genuinely good outcome and is worth reading alongside the claim that was lost: the label is broad, and undifferentiated.</w:t>
      </w:r>
    </w:p>
    <w:p>
      <w:pPr>
        <w:spacing w:before="320"/>
      </w:pPr>
      <w:r>
        <w:rPr>
          <w:b/>
          <w:color w:val="12304A"/>
          <w:sz w:val="28"/>
        </w:rPr>
        <w:t>6. What Was Never Convened</w:t>
      </w:r>
    </w:p>
    <w:p>
      <w:r>
        <w:t>No advisory committee. Confirmed in the Day 74 letter, and the absence is informative.</w:t>
      </w:r>
    </w:p>
    <w:p>
      <w:pPr>
        <w:spacing w:before="120"/>
        <w:ind w:left="360"/>
      </w:pPr>
      <w:r>
        <w:rPr>
          <w:i/>
          <w:color w:val="12304A"/>
          <w:sz w:val="20"/>
        </w:rPr>
        <w:t>Advisory committees are convened where a review raises questions the agency wants public external input on — a novel mechanism, a contested benefit-risk balance, a safety signal requiring judgment, a first-in-class approval.</w:t>
      </w:r>
    </w:p>
    <w:p>
      <w:pPr>
        <w:spacing w:before="120"/>
        <w:ind w:left="360"/>
      </w:pPr>
      <w:r>
        <w:rPr>
          <w:i/>
          <w:color w:val="12304A"/>
          <w:sz w:val="20"/>
        </w:rPr>
        <w:t>VitaFlow is none of those things. It is a later entrant in an established class, with a well-characterized mechanism, an unsurprising safety profile and an endpoint the agency has accepted many times. The same properties that made the Regulatory Strategy decline Breakthrough Therapy designation — unremarkable, well-precedented, not substantially differentiated — are the properties that made an advisory committee unnecessary.</w:t>
      </w:r>
    </w:p>
    <w:p>
      <w:pPr>
        <w:spacing w:before="120"/>
        <w:ind w:left="360"/>
      </w:pPr>
      <w:r>
        <w:rPr>
          <w:i/>
          <w:color w:val="12304A"/>
          <w:sz w:val="20"/>
        </w:rPr>
        <w:t>The program's lack of novelty was a commercial weakness and a regulatory asset. Those are the same fact.</w:t>
      </w:r>
    </w:p>
    <w:p>
      <w:pPr>
        <w:spacing w:before="320"/>
      </w:pPr>
      <w:r>
        <w:rPr>
          <w:b/>
          <w:color w:val="12304A"/>
          <w:sz w:val="28"/>
        </w:rPr>
        <w:t>The Outcome That Did Not Happen</w:t>
      </w:r>
    </w:p>
    <w:p>
      <w:r>
        <w:t>Every review has two possible endings. This one ended in approval; the other ending is a Complete Response Letter, and a review log that does not explain it has described a coin landing without mentioning the coin.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What a CRL is</w:t>
            </w:r>
          </w:p>
        </w:tc>
        <w:tc>
          <w:tcPr>
            <w:tcW w:type="dxa" w:w="4824"/>
          </w:tcPr>
          <w:p>
            <w:r>
              <w:rPr>
                <w:sz w:val="17"/>
              </w:rPr>
              <w:t>The agency's decision not to approve in the current cycle. It is not a rejection of the drug; it is a statement of what must be resolved before approval.</w:t>
            </w:r>
          </w:p>
        </w:tc>
      </w:tr>
      <w:tr>
        <w:tc>
          <w:tcPr>
            <w:tcW w:type="dxa" w:w="4824"/>
          </w:tcPr>
          <w:p>
            <w:r>
              <w:rPr>
                <w:sz w:val="17"/>
              </w:rPr>
              <w:t>What it does to the clock</w:t>
            </w:r>
          </w:p>
        </w:tc>
        <w:tc>
          <w:tcPr>
            <w:tcW w:type="dxa" w:w="4824"/>
          </w:tcPr>
          <w:p>
            <w:r>
              <w:rPr>
                <w:sz w:val="17"/>
              </w:rPr>
              <w:t>The review ends. A resubmission starts a new review — Class 1 (2 months) or Class 2 (6 months), depending on what the response contains.</w:t>
            </w:r>
          </w:p>
        </w:tc>
      </w:tr>
      <w:tr>
        <w:tc>
          <w:tcPr>
            <w:tcW w:type="dxa" w:w="4824"/>
          </w:tcPr>
          <w:p>
            <w:r>
              <w:rPr>
                <w:sz w:val="17"/>
              </w:rPr>
              <w:t>Most common causes</w:t>
            </w:r>
          </w:p>
        </w:tc>
        <w:tc>
          <w:tcPr>
            <w:tcW w:type="dxa" w:w="4824"/>
          </w:tcPr>
          <w:p>
            <w:r>
              <w:rPr>
                <w:sz w:val="17"/>
              </w:rPr>
              <w:t>Manufacturing or facility deficiencies, inadequate efficacy evidence, safety concerns, or an unresolved inspection finding.</w:t>
            </w:r>
          </w:p>
        </w:tc>
      </w:tr>
      <w:tr>
        <w:tc>
          <w:tcPr>
            <w:tcW w:type="dxa" w:w="4824"/>
          </w:tcPr>
          <w:p>
            <w:r>
              <w:rPr>
                <w:sz w:val="17"/>
              </w:rPr>
              <w:t>What it would have cost here</w:t>
            </w:r>
          </w:p>
        </w:tc>
        <w:tc>
          <w:tcPr>
            <w:tcW w:type="dxa" w:w="4824"/>
          </w:tcPr>
          <w:p>
            <w:r>
              <w:rPr>
                <w:sz w:val="17"/>
              </w:rPr>
              <w:t>A Class 2 resubmission would have moved approval to roughly Q2 2030 and launch into the second half of 2030 — consuming two further quarters of a patent term already down to about a decade.</w:t>
            </w:r>
          </w:p>
        </w:tc>
      </w:tr>
      <w:tr>
        <w:tc>
          <w:tcPr>
            <w:tcW w:type="dxa" w:w="4824"/>
          </w:tcPr>
          <w:p>
            <w:r>
              <w:rPr>
                <w:sz w:val="17"/>
              </w:rPr>
              <w:t>The exposure that was real</w:t>
            </w:r>
          </w:p>
        </w:tc>
        <w:tc>
          <w:tcPr>
            <w:tcW w:type="dxa" w:w="4824"/>
          </w:tcPr>
          <w:p>
            <w:r>
              <w:rPr>
                <w:sz w:val="17"/>
              </w:rPr>
              <w:t>The pre-approval inspection. A data-integrity or process-validity observation at Aldergate, rather than a documentation one, would have been the most likely route to a CRL in this program.</w:t>
            </w:r>
          </w:p>
        </w:tc>
      </w:tr>
    </w:tbl>
    <w:p/>
    <w:p>
      <w:pPr>
        <w:spacing w:before="120"/>
        <w:ind w:left="360"/>
      </w:pPr>
      <w:r>
        <w:rPr>
          <w:i/>
          <w:color w:val="12304A"/>
          <w:sz w:val="20"/>
        </w:rPr>
        <w:t>A CRL is not a rejection of the drug. It is the agency stating what must be resolved before approval is possible in a future cycle. Products receive one and are approved later; the letter is a stage in a conversation, not a verdict.</w:t>
      </w:r>
    </w:p>
    <w:p>
      <w:pPr>
        <w:spacing w:before="120"/>
        <w:ind w:left="360"/>
      </w:pPr>
      <w:r>
        <w:rPr>
          <w:i/>
          <w:color w:val="12304A"/>
          <w:sz w:val="20"/>
        </w:rPr>
        <w:t>What it costs is time, and time in this program is patent life. A Class 2 resubmission — six months, triggered by anything requiring substantive new review — would have pushed approval to roughly Q2 2030 and launch into the second half of that year. Against a composition-of-matter patent running to 2039, that is two quarters of protected commercial life gone, permanently, for a product that was going to be approved anyway.</w:t>
      </w:r>
    </w:p>
    <w:p>
      <w:pPr>
        <w:spacing w:before="120"/>
        <w:ind w:left="360"/>
      </w:pPr>
      <w:r>
        <w:rPr>
          <w:i/>
          <w:color w:val="12304A"/>
          <w:sz w:val="20"/>
        </w:rPr>
        <w:t>The exposure that was real in this program was the inspection, not the data. Both pivotals met their primary endpoint and the safety database was adequate; the clinical case was not the vulnerable part.</w:t>
      </w:r>
    </w:p>
    <w:p>
      <w:pPr>
        <w:spacing w:before="120"/>
        <w:ind w:left="360"/>
      </w:pPr>
      <w:r>
        <w:rPr>
          <w:i/>
          <w:color w:val="12304A"/>
          <w:sz w:val="20"/>
        </w:rPr>
        <w:t>The vulnerable part was Aldergate. A data-integrity or process-validity observation — rather than the environmental-monitoring documentation observation actually received — would have been the most probable route to a CRL here. That is why R-07 was carried as a live risk with fifteen working days of response capacity held in reserve, and why the CMC Readiness Assessment treats manufacturing as gating the filing independently of the clinical result.</w:t>
      </w:r>
    </w:p>
    <w:p>
      <w:pPr>
        <w:spacing w:before="320"/>
      </w:pPr>
      <w:r>
        <w:rPr>
          <w:b/>
          <w:color w:val="12304A"/>
          <w:sz w:val="28"/>
        </w:rPr>
        <w:t>7. What This Log Establishes</w:t>
      </w:r>
    </w:p>
    <w:p>
      <w:pPr>
        <w:pStyle w:val="ListBullet"/>
      </w:pPr>
      <w:r>
        <w:t>Approved 2029-10-05, six days ahead of the action date. The Charter §19 date held.</w:t>
      </w:r>
    </w:p>
    <w:p>
      <w:pPr>
        <w:pStyle w:val="ListBullet"/>
      </w:pPr>
      <w:r>
        <w:t>Zero major amendments — the review consumed no additional time, and the credit belongs to submission quality rather than review management.</w:t>
      </w:r>
    </w:p>
    <w:p>
      <w:pPr>
        <w:pStyle w:val="ListBullet"/>
      </w:pPr>
      <w:r>
        <w:t>One inspection observation, closed before the action date and of a category that did not threaten it.</w:t>
      </w:r>
    </w:p>
    <w:p>
      <w:pPr>
        <w:pStyle w:val="ListBullet"/>
      </w:pPr>
      <w:r>
        <w:t>The full indication was granted.</w:t>
      </w:r>
    </w:p>
    <w:p>
      <w:pPr>
        <w:pStyle w:val="ListBullet"/>
      </w:pPr>
      <w:r>
        <w:t>No comparative tolerability claim. The commercial thesis of the asset did not reach the label.</w:t>
      </w:r>
    </w:p>
    <w:p>
      <w:pPr>
        <w:spacing w:before="120"/>
        <w:ind w:left="360"/>
      </w:pPr>
      <w:r>
        <w:rPr>
          <w:i/>
          <w:color w:val="12304A"/>
          <w:sz w:val="20"/>
        </w:rPr>
        <w:t>Read this log next to the Post-Launch Review. The regulatory outcome was close to the best available: on time, clean inspection, full indication, no REMS. The commercial outcome was 22.5% below plan.</w:t>
      </w:r>
    </w:p>
    <w:p>
      <w:pPr>
        <w:spacing w:before="120"/>
        <w:ind w:left="360"/>
      </w:pPr>
      <w:r>
        <w:rPr>
          <w:i/>
          <w:color w:val="12304A"/>
          <w:sz w:val="20"/>
        </w:rPr>
        <w:t>Both are true, and the gap between them is the most useful thing in this suite. A program can execute a regulatory strategy almost perfectly and still miss its business case, because the two are decided at different times by different mechanisms. The regulatory outcome was decided in this review period. The commercial outcome was decided at protocol finalization and in the market access work that ran late.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