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5F8E"/>
          <w:sz w:val="16"/>
        </w:rPr>
        <w:t>NDA SUBMISSION · VITALIS THERAPEUTICS INC. · ILLUSTRATIVE END-STATE SAMPLE — FORWARD-DATED, NOT RECONCILED</w:t>
      </w:r>
    </w:p>
    <w:p>
      <w:r>
        <w:rPr>
          <w:b/>
          <w:color w:val="12304A"/>
          <w:sz w:val="44"/>
        </w:rPr>
        <w:t>Gate 5 Decision Record</w:t>
      </w:r>
    </w:p>
    <w:p>
      <w:r>
        <w:rPr>
          <w:i/>
          <w:color w:val="6B7280"/>
          <w:sz w:val="17"/>
        </w:rPr>
        <w:t>Vitalis Therapeutics Inc. · VitaFlow (VTX-401) · Gate 5 Decision Record · 2028-09-30. Illustrative end-state sample — forward-dated, not reconciled. Fictional program.</w:t>
      </w:r>
    </w:p>
    <w:p/>
    <w:p>
      <w:r>
        <w:t>Vitalis Therapeutics Inc. — The recorded decision of the Development Committee at Gate 5, the NDA submission gate for VitaFlow (VTX-401), held 2028-09-30. Outcome GO (5-0). Includes the eight pivotal endpoint results, the must-meet and should-meet assessment, and the labeling discussion that changed the commercial case.</w:t>
      </w:r>
    </w:p>
    <w:p>
      <w:pPr>
        <w:spacing w:before="120"/>
        <w:ind w:left="360"/>
      </w:pPr>
      <w:r>
        <w:rPr>
          <w:i/>
          <w:color w:val="12304A"/>
          <w:sz w:val="20"/>
        </w:rPr>
        <w:t>Forward-dated end-state sample. This record speaks from 2028-09-30 — two years after the 15 October 2026 status date the rest of the in-flight suite is written to. It is deliberately not reconciled against those artifacts.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in-flight documents forecast; this one reports. Where they disagree, the disagreement is the point — it is what a governance record looks like when read forward rather than backward.</w:t>
      </w:r>
    </w:p>
    <w:p>
      <w:pPr>
        <w:spacing w:before="320"/>
      </w:pPr>
      <w:r>
        <w:rPr>
          <w:b/>
          <w:color w:val="12304A"/>
          <w:sz w:val="28"/>
        </w:rPr>
        <w:t>1. Decision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Gate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Gate 5 — NDA Submission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Held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2028-09-30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Outcome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GO (5-0)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Tranche released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$15,800,000 — Stage 5, submission and review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NDA submitted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2028-10-12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Filing accepted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2028-12-11 — 60-day filing review completed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Action date set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11 October 2029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The vote was unanimous and two endpoints missed their targets. Both belong in this record.</w:t>
      </w:r>
    </w:p>
    <w:p>
      <w:pPr>
        <w:spacing w:before="120"/>
        <w:ind w:left="360"/>
      </w:pPr>
      <w:r>
        <w:rPr>
          <w:i/>
          <w:color w:val="12304A"/>
          <w:sz w:val="20"/>
        </w:rPr>
        <w:t>A gate outcome is not a verdict on whether everyone is pleased. It is a determination against criteria fixed before the data existed. Every must-meet was satisfied, so GO was available; two should-meets were not, so the record says so. A committee that had voted 5-0 and minuted only the successes would have produced a document nobody could use two years later.</w:t>
      </w:r>
    </w:p>
    <w:p>
      <w:pPr>
        <w:spacing w:before="320"/>
      </w:pPr>
      <w:r>
        <w:rPr>
          <w:b/>
          <w:color w:val="12304A"/>
          <w:sz w:val="28"/>
        </w:rPr>
        <w:t>2. Results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r>
              <w:rPr>
                <w:b/>
                <w:sz w:val="17"/>
              </w:rPr>
              <w:t>Endpoint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Result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Criterion</w:t>
            </w:r>
          </w:p>
        </w:tc>
        <w:tc>
          <w:tcPr>
            <w:tcW w:type="dxa" w:w="2412"/>
          </w:tcPr>
          <w:p>
            <w:r>
              <w:rPr>
                <w:b/>
                <w:sz w:val="17"/>
              </w:rPr>
              <w:t>Assessment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Pivotal 301 — mean weight reduction, week 68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14.2%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≥15% target / ≥10% min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below target, clears minimum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Pivotal 302 — mean weight reduction, week 68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14.8%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≥15% target / ≥10% min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below target, clears minimum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Responder rate ≥5%, pooled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81.3%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≥80% target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met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Responder rate ≥10%, pooled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64.1%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hierarchical secondary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met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Responder rate ≥15%, pooled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41.7%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hierarchical secondary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met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Waist circumference change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−11.4 cm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hierarchical secondary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met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GI-attributed discontinuation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6.4%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≤4% target / ≤7% min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below target, inside minimum</w:t>
            </w:r>
          </w:p>
        </w:tc>
      </w:tr>
      <w:tr>
        <w:tc>
          <w:tcPr>
            <w:tcW w:type="dxa" w:w="2412"/>
          </w:tcPr>
          <w:p>
            <w:r>
              <w:rPr>
                <w:sz w:val="17"/>
              </w:rPr>
              <w:t>CV sub-study — MACE hazard ratio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0.91 (UB 1.18)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UB &lt;1.4</w:t>
            </w:r>
          </w:p>
        </w:tc>
        <w:tc>
          <w:tcPr>
            <w:tcW w:type="dxa" w:w="2412"/>
          </w:tcPr>
          <w:p>
            <w:r>
              <w:rPr>
                <w:sz w:val="17"/>
              </w:rPr>
              <w:t>met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Read the seventh row against the whole program. GI-attributed discontinuation came in at 6.4%, against a v3.0 target of ≤4% and a minimum of ≤7%.</w:t>
      </w:r>
    </w:p>
    <w:p>
      <w:pPr>
        <w:spacing w:before="120"/>
        <w:ind w:left="360"/>
      </w:pPr>
      <w:r>
        <w:rPr>
          <w:i/>
          <w:color w:val="12304A"/>
          <w:sz w:val="20"/>
        </w:rPr>
        <w:t>That result cleared the bar that made the drug launchable and missed the bar that would have made it differentiated. Phase 2 had shown 5.1% at 36 weeks; the separation narrowed over 68 weeks at scale, which is the direction tolerability signals usually move and the reason the Target Product Profile recorded 24 weeks as insufficient evidence for a 68-week claim.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commercial thesis for this asset was tolerability. The clinical result supports a product; it does not support the thesis.</w:t>
      </w:r>
    </w:p>
    <w:p>
      <w:r>
        <w:t>The weight-reduction results tell a similar story more mildly. 14.2% and 14.8% are real, clinically meaningful reductions that comfortably clear the ≥10% minimum — and they sit below the ≥15% target that v2.0 of the TPP raised on the strength of Phase 1 data. Raising a target on early data is unusual, and this is the cost of it: a program that would have met its original target is recorded as missing its revised one.</w:t>
      </w:r>
    </w:p>
    <w:p>
      <w:pPr>
        <w:spacing w:before="320"/>
      </w:pPr>
      <w:r>
        <w:rPr>
          <w:b/>
          <w:color w:val="12304A"/>
          <w:sz w:val="28"/>
        </w:rPr>
        <w:t>3. Must-Meet Assessment</w:t>
      </w:r>
    </w:p>
    <w:p>
      <w:r>
        <w:t>Assessed first, before any scoring, in the sequence set out in the Gate Decision Framework.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r>
              <w:rPr>
                <w:b/>
                <w:sz w:val="17"/>
              </w:rPr>
              <w:t>Criterion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Status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Evidence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Both pivotal trials met the primary endpoint with statistical significance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Superiority to placebo demonstrated on percent weight reduction at week 68 in both 301 and 302.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Safety database adequate for the intended label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2,480 randomized, 68-week exposure, no unexpected serious safety signal. DMC recommended CONTINUE at every review.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CMC package complete and registration batches on stability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All three registration batches manufactured and on stability. GC-01 closed 2027-01-22.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Process validation complete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PPQ campaign completed Q2 2027, three consecutive conforming batches.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Agreed pediatric study plan in place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iPSP agreed 2027-02; adolescent study deferred as a post-marketing requirement.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No unresolved matter that would prevent filing acceptance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Pre-NDA meeting 2028-08-10 confirmed content and format.</w:t>
            </w:r>
          </w:p>
        </w:tc>
      </w:tr>
    </w:tbl>
    <w:p/>
    <w:p>
      <w:r>
        <w:t>All six satisfied. GO was therefore available as an outcome — which is the only thing a must-meet assessment establishes. It does not make GO correct; it makes it possible.</w:t>
      </w:r>
    </w:p>
    <w:p>
      <w:pPr>
        <w:spacing w:before="120"/>
        <w:ind w:left="360"/>
      </w:pPr>
      <w:r>
        <w:rPr>
          <w:i/>
          <w:color w:val="12304A"/>
          <w:sz w:val="20"/>
        </w:rPr>
        <w:t>GC-01 closed on 2027-01-22, fifteen months after the status date at which the in-flight suite records it as open. The purity method re-qualified, the third registration batch was manufactured and placed on stability, and PPQ started.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Conditions Register refused partial closure on two of three methods. That refusal cost the program roughly four weeks of argument and is the reason this must-meet is recorded as met rather than as substantially met.</w:t>
      </w:r>
    </w:p>
    <w:p>
      <w:pPr>
        <w:spacing w:before="320"/>
      </w:pPr>
      <w:r>
        <w:rPr>
          <w:b/>
          <w:color w:val="12304A"/>
          <w:sz w:val="28"/>
        </w:rPr>
        <w:t>4. Should-Meet Assessment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r>
              <w:rPr>
                <w:b/>
                <w:sz w:val="17"/>
              </w:rPr>
              <w:t>Criterion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Status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Note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Weight reduction at or above the target in the TPP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not 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14.2% and 14.8% against a ≥15% target. Both clear the ≥10% minimum.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GI-attributed discontinuation at or below the target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not 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6.4% against a ≤4% target. Inside the ≤7% minimum.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Responder rates at or above target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81.3% at the ≥5% threshold.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Cardiovascular safety demonstrated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met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MACE hazard ratio 0.91, upper bound 1.18, well inside the 1.4 requirement.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Market access evidence package complete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partial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GC-03 closed late, 2027-06. Advisory boards held, but the payer evidence was assembled after the pricing model had been built on it.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Three of five met, one partial, two not met — and the outcome was still GO.</w:t>
      </w:r>
    </w:p>
    <w:p>
      <w:pPr>
        <w:spacing w:before="120"/>
        <w:ind w:left="360"/>
      </w:pPr>
      <w:r>
        <w:rPr>
          <w:i/>
          <w:color w:val="12304A"/>
          <w:sz w:val="20"/>
        </w:rPr>
        <w:t>That is the scoring model working as designed. Should-meets inform the decision; they do not control it. A program that missed two aspirational targets while satisfying every obligation required for a filing is a program that should file.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alternative reading — that missing a differentiation target should have triggered RECYCLE — would have meant holding a completed pivotal program off the market to chase a tolerability margin that 68-week data had just demonstrated was not there. RECYCLE is for programs that can be fixed. This one could not be, and the Committee said so.</w:t>
      </w:r>
    </w:p>
    <w:p>
      <w:pPr>
        <w:spacing w:before="320"/>
      </w:pPr>
      <w:r>
        <w:rPr>
          <w:b/>
          <w:color w:val="12304A"/>
          <w:sz w:val="28"/>
        </w:rPr>
        <w:t>5. The Discussion That Mattered</w:t>
      </w:r>
    </w:p>
    <w:p>
      <w:r>
        <w:t>The minuted debate was not about whether to file. It was about what to claim.</w:t>
      </w:r>
    </w:p>
    <w:p>
      <w:pPr>
        <w:spacing w:before="200"/>
      </w:pPr>
      <w:r>
        <w:rPr>
          <w:b/>
          <w:color w:val="2B5F8E"/>
          <w:sz w:val="23"/>
        </w:rPr>
        <w:t>The comparative tolerability claim</w:t>
      </w:r>
    </w:p>
    <w:p>
      <w:r>
        <w:t>J. Barrington (SVP Market Access) argued for pursuing a comparative tolerability statement in labeling on the strength of the 6.4% result. Dr. P. Raghunathan (SVP Regulatory) advised against, on three grounds:</w:t>
      </w:r>
    </w:p>
    <w:p>
      <w:pPr>
        <w:pStyle w:val="ListBullet"/>
      </w:pPr>
      <w:r>
        <w:t>The endpoint sat fourth in the hierarchy, behind three weight endpoints. Its statistical standing supports a descriptive statement, not a comparative claim.</w:t>
      </w:r>
    </w:p>
    <w:p>
      <w:pPr>
        <w:pStyle w:val="ListBullet"/>
      </w:pPr>
      <w:r>
        <w:t>No head-to-head trial was conducted. A comparative claim requires comparative data.</w:t>
      </w:r>
    </w:p>
    <w:p>
      <w:pPr>
        <w:pStyle w:val="ListBullet"/>
      </w:pPr>
      <w:r>
        <w:t>Pursuing it would invite review questions on an application the program wanted to move cleanly.</w:t>
      </w:r>
    </w:p>
    <w:p>
      <w:r>
        <w:t>The Committee accepted the regulatory position. No comparative tolerability claim was sought.</w:t>
      </w:r>
    </w:p>
    <w:p>
      <w:pPr>
        <w:spacing w:before="120"/>
        <w:ind w:left="360"/>
      </w:pPr>
      <w:r>
        <w:rPr>
          <w:i/>
          <w:color w:val="12304A"/>
          <w:sz w:val="20"/>
        </w:rPr>
        <w:t>This is the moment the commercial case changed, and it was foreseeable from the moment the endpoint hierarchy was fixed.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Protocol Summary records that argument being had at protocol finalization, more than two years earlier, and lost — because reordering the hierarchy to protect a commercial claim would have been visible to the agency as exactly that. The decision was correct then and its consequence arrived here.</w:t>
      </w:r>
    </w:p>
    <w:p>
      <w:pPr>
        <w:spacing w:before="120"/>
        <w:ind w:left="360"/>
      </w:pPr>
      <w:r>
        <w:rPr>
          <w:i/>
          <w:color w:val="12304A"/>
          <w:sz w:val="20"/>
        </w:rPr>
        <w:t>A program that had promoted the differentiation endpoint would have had a stronger claim and a weaker filing. That trade was made once, deliberately, and this record is where the bill came due.</w:t>
      </w:r>
    </w:p>
    <w:p>
      <w:pPr>
        <w:spacing w:before="200"/>
      </w:pPr>
      <w:r>
        <w:rPr>
          <w:b/>
          <w:color w:val="2B5F8E"/>
          <w:sz w:val="23"/>
        </w:rPr>
        <w:t>The abstention that wasn't repeated</w:t>
      </w:r>
    </w:p>
    <w:p>
      <w:r>
        <w:t>M. Thornbury (CFO), who abstained at Gate 4 on un-refreshed gross-to-net assumptions, voted GO here. The commercial model had been rebuilt in Q1 2028 with current payer data. The revised net price assumption was $11,050 against the $12,500 the Gate 4 case had carried — a 12% reduction, and the reason the abstention had been recorded.</w:t>
      </w:r>
    </w:p>
    <w:p>
      <w:pPr>
        <w:spacing w:before="320"/>
      </w:pPr>
      <w:r>
        <w:rPr>
          <w:b/>
          <w:color w:val="12304A"/>
          <w:sz w:val="28"/>
        </w:rPr>
        <w:t>6. Authorization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r>
              <w:rPr>
                <w:b/>
                <w:sz w:val="17"/>
              </w:rPr>
              <w:t>Element</w:t>
            </w:r>
          </w:p>
        </w:tc>
        <w:tc>
          <w:tcPr>
            <w:tcW w:type="dxa" w:w="4824"/>
          </w:tcPr>
          <w:p>
            <w:r>
              <w:rPr>
                <w:b/>
                <w:sz w:val="17"/>
              </w:rPr>
              <w:t>Position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Tranche released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$15,800,000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Cumulative released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$217,000,000 — the full base authorization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Contingency remaining at this gate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$9,890,000 of $26,040,000</w:t>
            </w:r>
          </w:p>
        </w:tc>
      </w:tr>
      <w:tr>
        <w:tc>
          <w:tcPr>
            <w:tcW w:type="dxa" w:w="4824"/>
          </w:tcPr>
          <w:p>
            <w:r>
              <w:rPr>
                <w:sz w:val="17"/>
              </w:rPr>
              <w:t>Ceiling</w:t>
            </w:r>
          </w:p>
        </w:tc>
        <w:tc>
          <w:tcPr>
            <w:tcW w:type="dxa" w:w="4824"/>
          </w:tcPr>
          <w:p>
            <w:r>
              <w:rPr>
                <w:sz w:val="17"/>
              </w:rPr>
              <w:t>$243,040,000 — unchanged since Gate 4</w:t>
            </w:r>
          </w:p>
        </w:tc>
      </w:tr>
    </w:tbl>
    <w:p/>
    <w:p>
      <w:r>
        <w:t>Stage 5 covers submission, the review period, pre-approval inspection support and launch preparation to the action date. It is the smallest tranche in the program (7% of base) and the one with the least discretion attached — most of what happens in Stage 5 is responding to an agency on the agency's timetable.</w:t>
      </w:r>
    </w:p>
    <w:p>
      <w:pPr>
        <w:spacing w:before="120"/>
        <w:ind w:left="360"/>
      </w:pPr>
      <w:r>
        <w:rPr>
          <w:i/>
          <w:color w:val="12304A"/>
          <w:sz w:val="20"/>
        </w:rPr>
        <w:t>Risk-adjusted value at this gate: $1,253.0M. Only the filing-to-approval conditional remains unresolved, at roughly 92%.</w:t>
      </w:r>
    </w:p>
    <w:p>
      <w:pPr>
        <w:spacing w:before="120"/>
        <w:ind w:left="360"/>
      </w:pPr>
      <w:r>
        <w:rPr>
          <w:i/>
          <w:color w:val="12304A"/>
          <w:sz w:val="20"/>
        </w:rPr>
        <w:t>Against $15,800,000 of remaining authorization, that is the most favorable ratio in the program's history — and the correct reading is not that the program became a good investment at Gate 5. It is that the uncertainty which made it a poor one has been bought out, over five years, one tranche at a time. The expected value rose because the program spent money to resolve conditionals, exactly as the Charter §2 anticipated.</w:t>
      </w:r>
    </w:p>
    <w:p>
      <w:pPr>
        <w:spacing w:before="320"/>
      </w:pPr>
      <w:r>
        <w:rPr>
          <w:b/>
          <w:color w:val="12304A"/>
          <w:sz w:val="28"/>
        </w:rPr>
        <w:t>7. What This Record Establishes</w:t>
      </w:r>
    </w:p>
    <w:p>
      <w:pPr>
        <w:pStyle w:val="ListBullet"/>
      </w:pPr>
      <w:r>
        <w:t>The program may file. All must-meets satisfied; the application went to the agency 2028-10-12 and was accepted 2028-12-11.</w:t>
      </w:r>
    </w:p>
    <w:p>
      <w:pPr>
        <w:pStyle w:val="ListBullet"/>
      </w:pPr>
      <w:r>
        <w:t>The drug works and is tolerable. Both pivotals met their primary endpoint; the safety database supports the intended label.</w:t>
      </w:r>
    </w:p>
    <w:p>
      <w:pPr>
        <w:pStyle w:val="ListBullet"/>
      </w:pPr>
      <w:r>
        <w:t>The differentiation thesis did not survive contact with 68-week data. Recorded here, not softened.</w:t>
      </w:r>
    </w:p>
    <w:p>
      <w:pPr>
        <w:pStyle w:val="ListBullet"/>
      </w:pPr>
      <w:r>
        <w:t>No comparative tolerability claim will be sought, and the commercial forecast will need rebuilding on that basis before launch.</w:t>
      </w:r>
    </w:p>
    <w:p>
      <w:pPr>
        <w:pStyle w:val="ListBullet"/>
      </w:pPr>
      <w:r>
        <w:t>The Gate 4 conditions closed, one of them late enough to matter.</w:t>
      </w:r>
    </w:p>
    <w:p>
      <w:pPr>
        <w:spacing w:before="120"/>
        <w:ind w:left="360"/>
      </w:pPr>
      <w:r>
        <w:rPr>
          <w:i/>
          <w:color w:val="12304A"/>
          <w:sz w:val="20"/>
        </w:rPr>
        <w:t>What this record does not establish. It does not establish that the program will be approved — that is Gate 6. It does not establish that the commercial case holds; the 12% net-price revision and the late market-access evidence both point the other way, and the Post-Launch Review reports what came of that.</w:t>
      </w:r>
    </w:p>
    <w:p>
      <w:pPr>
        <w:spacing w:before="120"/>
        <w:ind w:left="360"/>
      </w:pPr>
      <w:r>
        <w:rPr>
          <w:i/>
          <w:color w:val="12304A"/>
          <w:sz w:val="20"/>
        </w:rPr>
        <w:t>A gate record should be readable by someone who does not yet know how the story ends. This one is written that way on purpose.</w:t>
      </w:r>
    </w:p>
    <w:p>
      <w:pPr>
        <w:spacing w:before="320"/>
      </w:pPr>
      <w:r>
        <w:rPr>
          <w:b/>
          <w:color w:val="12304A"/>
          <w:sz w:val="28"/>
        </w:rPr>
        <w:t>8. What Gate 5 Did Not Authorize</w:t>
      </w:r>
    </w:p>
    <w:p>
      <w:r>
        <w:t>A gate decision is bounded, and the boundary is as much a part of the record as the outcome. Gate 5 authorized two things: the release of the Stage 5 tranche of $15,800,000, and the submission of the NDA. It authorized nothing else, and four of the exclusions matter enough to record.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r>
              <w:rPr>
                <w:b/>
                <w:sz w:val="17"/>
              </w:rPr>
              <w:t>Not authorized by this gate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Why not</w:t>
            </w:r>
          </w:p>
        </w:tc>
        <w:tc>
          <w:tcPr>
            <w:tcW w:type="dxa" w:w="3216"/>
          </w:tcPr>
          <w:p>
            <w:r>
              <w:rPr>
                <w:b/>
                <w:sz w:val="17"/>
              </w:rPr>
              <w:t>Where it is decided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Approval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The Committee has no authority over an agency decision and cannot vote one into existence. Everything after submission is the review clock running.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FDA, target action date 11 Oct 2029.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Launch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Commercial launch is a separate authorization taken against an approval that did not exist on this date. Treating Gate 5 as launch authorization would commit the company to launch expenditure two years before there is a product to launch.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Gate 6.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Commercial-scale manufacture for sale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Process validation is complete but the pre-approval inspection has not occurred. Product made now is launch inventory built at risk, not saleable goods.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Approval, then release by Quality.</w:t>
            </w:r>
          </w:p>
        </w:tc>
      </w:tr>
      <w:tr>
        <w:tc>
          <w:tcPr>
            <w:tcW w:type="dxa" w:w="3216"/>
          </w:tcPr>
          <w:p>
            <w:r>
              <w:rPr>
                <w:sz w:val="17"/>
              </w:rPr>
              <w:t>Promotional activity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Pre-approval promotion of an investigational product is prohibited, and the label being sought is not the label that will be granted. Disease-state education and payer value-dossier development continue; product claims do not.</w:t>
            </w:r>
          </w:p>
        </w:tc>
        <w:tc>
          <w:tcPr>
            <w:tcW w:type="dxa" w:w="3216"/>
          </w:tcPr>
          <w:p>
            <w:r>
              <w:rPr>
                <w:sz w:val="17"/>
              </w:rPr>
              <w:t>Approved labeling.</w:t>
            </w:r>
          </w:p>
        </w:tc>
      </w:tr>
    </w:tbl>
    <w:p/>
    <w:p>
      <w:pPr>
        <w:spacing w:before="120"/>
        <w:ind w:left="360"/>
      </w:pPr>
      <w:r>
        <w:rPr>
          <w:i/>
          <w:color w:val="12304A"/>
          <w:sz w:val="20"/>
        </w:rPr>
        <w:t>The most expensive misreading of a gate decision is treating authorization to proceed as confirmation of the outcome.</w:t>
      </w:r>
    </w:p>
    <w:p>
      <w:pPr>
        <w:spacing w:before="120"/>
        <w:ind w:left="360"/>
      </w:pPr>
      <w:r>
        <w:rPr>
          <w:i/>
          <w:color w:val="12304A"/>
          <w:sz w:val="20"/>
        </w:rPr>
        <w:t>Gate 5 carried unanimously, 5-0, on a submission package the Committee judged complete. Nothing in that vote is a statement about whether VitaFlow would be approved, what label it would carry, or what it would be worth. The Committee assessed readiness to submit — a question about the last six months of work — and the record should not be read as answering any larger question, because it was not asked one.</w:t>
      </w:r>
    </w:p>
    <w:p>
      <w:pPr>
        <w:spacing w:before="120"/>
        <w:ind w:left="360"/>
      </w:pPr>
      <w:r>
        <w:rPr>
          <w:i/>
          <w:color w:val="12304A"/>
          <w:sz w:val="20"/>
        </w:rPr>
        <w:t>The Gate 4 abstention is the counterpart to this. It recorded a reservation about a commercial assumption at the gate where that assumption was load-bearing. By Gate 5 the reservation was still live and still unresolved, and it was outside the scope of the question Gate 5 asked.</w:t>
      </w:r>
    </w:p>
    <w:p>
      <w:r>
        <w:t>Two conditions were carried out of this gate into Stage 5, both verification-only: confirmation that the pre-approval inspection readiness plan is executed against the sites named in the submission, and a refreshed gross-to-net position tabled at Gate 6 rather than at the next quarterly review. Neither gated the submission. A condition that would have gated the submission would have produced a different outcome word than GO.</w:t>
      </w:r>
    </w:p>
    <w:sectPr w:rsidR="00FC693F" w:rsidRPr="0006063C" w:rsidSect="00034616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