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REGULATORY · VITALIS THERAPEUTICS INC.</w:t>
      </w:r>
    </w:p>
    <w:p>
      <w:r>
        <w:rPr>
          <w:b/>
          <w:color w:val="12304A"/>
          <w:sz w:val="44"/>
        </w:rPr>
        <w:t>Labeling Strategy</w:t>
      </w:r>
    </w:p>
    <w:p>
      <w:r>
        <w:rPr>
          <w:i/>
          <w:color w:val="6B7280"/>
          <w:sz w:val="17"/>
        </w:rPr>
        <w:t>Vitalis Therapeutics Inc. · VitaFlow (VTX-401) · Labeling Strategy · status 15 October 2026. Fictional program.</w:t>
      </w:r>
    </w:p>
    <w:p/>
    <w:p>
      <w:pPr>
        <w:spacing w:before="320"/>
      </w:pPr>
      <w:r>
        <w:rPr>
          <w:b/>
          <w:color w:val="12304A"/>
          <w:sz w:val="28"/>
        </w:rPr>
        <w:t>1. The Label Is the Product</w:t>
      </w:r>
    </w:p>
    <w:p>
      <w:r>
        <w:t>Commercially, a drug is not a molecule. It is a label — the approved prescribing information that bounds every statement anyone at the company may make about it. A sales representative may discuss what section 14 contains and nothing else. A payer's evidence review starts from the indication. A physician's prescribing decision is made from the same document.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What the label determines</w:t>
            </w:r>
          </w:p>
        </w:tc>
        <w:tc>
          <w:tcPr>
            <w:tcW w:type="dxa" w:w="4824"/>
          </w:tcPr>
          <w:p>
            <w:r>
              <w:rPr>
                <w:b/>
                <w:sz w:val="17"/>
              </w:rPr>
              <w:t>Consequence</w:t>
            </w:r>
          </w:p>
        </w:tc>
      </w:tr>
      <w:tr>
        <w:tc>
          <w:tcPr>
            <w:tcW w:type="dxa" w:w="4824"/>
          </w:tcPr>
          <w:p>
            <w:r>
              <w:rPr>
                <w:sz w:val="17"/>
              </w:rPr>
              <w:t>What may be promoted</w:t>
            </w:r>
          </w:p>
        </w:tc>
        <w:tc>
          <w:tcPr>
            <w:tcW w:type="dxa" w:w="4824"/>
          </w:tcPr>
          <w:p>
            <w:r>
              <w:rPr>
                <w:sz w:val="17"/>
              </w:rPr>
              <w:t>Anything not in the approved label is off-label promotion, which is a regulatory and legal exposure rather than an aggressive commercial tactic.</w:t>
            </w:r>
          </w:p>
        </w:tc>
      </w:tr>
      <w:tr>
        <w:tc>
          <w:tcPr>
            <w:tcW w:type="dxa" w:w="4824"/>
          </w:tcPr>
          <w:p>
            <w:r>
              <w:rPr>
                <w:sz w:val="17"/>
              </w:rPr>
              <w:t>What a payer negotiates against</w:t>
            </w:r>
          </w:p>
        </w:tc>
        <w:tc>
          <w:tcPr>
            <w:tcW w:type="dxa" w:w="4824"/>
          </w:tcPr>
          <w:p>
            <w:r>
              <w:rPr>
                <w:sz w:val="17"/>
              </w:rPr>
              <w:t>⚠ A formulary conversation is largely a comparison of labels. A claim a competitor holds and this product does not is a structural disadvantage no discount fully offsets.</w:t>
            </w:r>
          </w:p>
        </w:tc>
      </w:tr>
      <w:tr>
        <w:tc>
          <w:tcPr>
            <w:tcW w:type="dxa" w:w="4824"/>
          </w:tcPr>
          <w:p>
            <w:r>
              <w:rPr>
                <w:sz w:val="17"/>
              </w:rPr>
              <w:t>Who may be prescribed the product</w:t>
            </w:r>
          </w:p>
        </w:tc>
        <w:tc>
          <w:tcPr>
            <w:tcW w:type="dxa" w:w="4824"/>
          </w:tcPr>
          <w:p>
            <w:r>
              <w:rPr>
                <w:sz w:val="17"/>
              </w:rPr>
              <w:t>The indication defines the population. A narrower indication than sought is a smaller addressable market on the day of approval.</w:t>
            </w:r>
          </w:p>
        </w:tc>
      </w:tr>
      <w:tr>
        <w:tc>
          <w:tcPr>
            <w:tcW w:type="dxa" w:w="4824"/>
          </w:tcPr>
          <w:p>
            <w:r>
              <w:rPr>
                <w:sz w:val="17"/>
              </w:rPr>
              <w:t>What the launch materials can say</w:t>
            </w:r>
          </w:p>
        </w:tc>
        <w:tc>
          <w:tcPr>
            <w:tcW w:type="dxa" w:w="4824"/>
          </w:tcPr>
          <w:p>
            <w:r>
              <w:rPr>
                <w:sz w:val="17"/>
              </w:rPr>
              <w:t>Every piece of promotional material is reviewed against the label before use. Materials built on an anticipated claim are wasted if the claim is not granted.</w:t>
            </w:r>
          </w:p>
        </w:tc>
      </w:tr>
    </w:tbl>
    <w:p/>
    <w:p>
      <w:pPr>
        <w:spacing w:before="120"/>
        <w:ind w:left="360"/>
      </w:pPr>
      <w:r>
        <w:rPr>
          <w:i/>
          <w:color w:val="12304A"/>
          <w:sz w:val="20"/>
        </w:rPr>
        <w:t>The label is negotiated at the very end of the program and determined at the very beginning.</w:t>
      </w:r>
    </w:p>
    <w:p>
      <w:pPr>
        <w:spacing w:before="120"/>
        <w:ind w:left="360"/>
      </w:pPr>
      <w:r>
        <w:rPr>
          <w:i/>
          <w:color w:val="12304A"/>
          <w:sz w:val="20"/>
        </w:rPr>
        <w:t>By the time labeling discussions open with the agency, the evidence has been fixed for years. The protocol decided which endpoints would be measured, the statistical analysis plan decided in what order they would be tested, and no amount of skilled negotiation produces a claim the data does not support.</w:t>
      </w:r>
    </w:p>
    <w:p>
      <w:pPr>
        <w:spacing w:before="120"/>
        <w:ind w:left="360"/>
      </w:pPr>
      <w:r>
        <w:rPr>
          <w:i/>
          <w:color w:val="12304A"/>
          <w:sz w:val="20"/>
        </w:rPr>
        <w:t>Which means the most consequential labeling decisions in this program were made in the Phase 3 protocol, by people who were thinking about statistics rather than about commercial differentiation.</w:t>
      </w:r>
    </w:p>
    <w:p>
      <w:pPr>
        <w:spacing w:before="320"/>
      </w:pPr>
      <w:r>
        <w:rPr>
          <w:b/>
          <w:color w:val="12304A"/>
          <w:sz w:val="28"/>
        </w:rPr>
        <w:t>2. What Is Being Sought</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Label element</w:t>
            </w:r>
          </w:p>
        </w:tc>
        <w:tc>
          <w:tcPr>
            <w:tcW w:type="dxa" w:w="1930"/>
          </w:tcPr>
          <w:p>
            <w:r>
              <w:rPr>
                <w:b/>
                <w:sz w:val="17"/>
              </w:rPr>
              <w:t>What is sought</w:t>
            </w:r>
          </w:p>
        </w:tc>
        <w:tc>
          <w:tcPr>
            <w:tcW w:type="dxa" w:w="1930"/>
          </w:tcPr>
          <w:p>
            <w:r>
              <w:rPr>
                <w:b/>
                <w:sz w:val="17"/>
              </w:rPr>
              <w:t>Evidence it rests on</w:t>
            </w:r>
          </w:p>
        </w:tc>
        <w:tc>
          <w:tcPr>
            <w:tcW w:type="dxa" w:w="1930"/>
          </w:tcPr>
          <w:p>
            <w:r>
              <w:rPr>
                <w:b/>
                <w:sz w:val="17"/>
              </w:rPr>
              <w:t>Confidence</w:t>
            </w:r>
          </w:p>
        </w:tc>
        <w:tc>
          <w:tcPr>
            <w:tcW w:type="dxa" w:w="1930"/>
          </w:tcPr>
          <w:p>
            <w:r>
              <w:rPr>
                <w:b/>
                <w:sz w:val="17"/>
              </w:rPr>
              <w:t>Note</w:t>
            </w:r>
          </w:p>
        </w:tc>
      </w:tr>
      <w:tr>
        <w:tc>
          <w:tcPr>
            <w:tcW w:type="dxa" w:w="1930"/>
          </w:tcPr>
          <w:p>
            <w:r>
              <w:rPr>
                <w:sz w:val="17"/>
              </w:rPr>
              <w:t>1 — Indications and Usage</w:t>
            </w:r>
          </w:p>
        </w:tc>
        <w:tc>
          <w:tcPr>
            <w:tcW w:type="dxa" w:w="1930"/>
          </w:tcPr>
          <w:p>
            <w:r>
              <w:rPr>
                <w:sz w:val="17"/>
              </w:rPr>
              <w:t>Chronic weight management in adults with BMI ≥30, or ≥27 with a weight-related comorbidity</w:t>
            </w:r>
          </w:p>
        </w:tc>
        <w:tc>
          <w:tcPr>
            <w:tcW w:type="dxa" w:w="1930"/>
          </w:tcPr>
          <w:p>
            <w:r>
              <w:rPr>
                <w:sz w:val="17"/>
              </w:rPr>
              <w:t>Both pivotals, co-primary endpoints</w:t>
            </w:r>
          </w:p>
        </w:tc>
        <w:tc>
          <w:tcPr>
            <w:tcW w:type="dxa" w:w="1930"/>
          </w:tcPr>
          <w:p>
            <w:r>
              <w:rPr>
                <w:sz w:val="17"/>
              </w:rPr>
              <w:t>High</w:t>
            </w:r>
          </w:p>
        </w:tc>
        <w:tc>
          <w:tcPr>
            <w:tcW w:type="dxa" w:w="1930"/>
          </w:tcPr>
          <w:p>
            <w:r>
              <w:rPr>
                <w:sz w:val="17"/>
              </w:rPr>
              <w:t>The core indication. Matches the class and the enrolled population; the agency has approved this wording shape before.</w:t>
            </w:r>
          </w:p>
        </w:tc>
      </w:tr>
      <w:tr>
        <w:tc>
          <w:tcPr>
            <w:tcW w:type="dxa" w:w="1930"/>
          </w:tcPr>
          <w:p>
            <w:r>
              <w:rPr>
                <w:sz w:val="17"/>
              </w:rPr>
              <w:t>2 — Dosage and Administration</w:t>
            </w:r>
          </w:p>
        </w:tc>
        <w:tc>
          <w:tcPr>
            <w:tcW w:type="dxa" w:w="1930"/>
          </w:tcPr>
          <w:p>
            <w:r>
              <w:rPr>
                <w:sz w:val="17"/>
              </w:rPr>
              <w:t>Once weekly subcutaneous, with a 20-week escalation to maintenance</w:t>
            </w:r>
          </w:p>
        </w:tc>
        <w:tc>
          <w:tcPr>
            <w:tcW w:type="dxa" w:w="1930"/>
          </w:tcPr>
          <w:p>
            <w:r>
              <w:rPr>
                <w:sz w:val="17"/>
              </w:rPr>
              <w:t>Phase 2 dose-ranging plus Phase 3 tolerability</w:t>
            </w:r>
          </w:p>
        </w:tc>
        <w:tc>
          <w:tcPr>
            <w:tcW w:type="dxa" w:w="1930"/>
          </w:tcPr>
          <w:p>
            <w:r>
              <w:rPr>
                <w:sz w:val="17"/>
              </w:rPr>
              <w:t>High</w:t>
            </w:r>
          </w:p>
        </w:tc>
        <w:tc>
          <w:tcPr>
            <w:tcW w:type="dxa" w:w="1930"/>
          </w:tcPr>
          <w:p>
            <w:r>
              <w:rPr>
                <w:sz w:val="17"/>
              </w:rPr>
              <w:t>⚠ The escalation schedule is in the label because it is the principal tolerability control. Lengthening it from 16 to 20 weeks was the only TPP target ever conceded.</w:t>
            </w:r>
          </w:p>
        </w:tc>
      </w:tr>
      <w:tr>
        <w:tc>
          <w:tcPr>
            <w:tcW w:type="dxa" w:w="1930"/>
          </w:tcPr>
          <w:p>
            <w:r>
              <w:rPr>
                <w:sz w:val="17"/>
              </w:rPr>
              <w:t>5 — Warnings and Precautions</w:t>
            </w:r>
          </w:p>
        </w:tc>
        <w:tc>
          <w:tcPr>
            <w:tcW w:type="dxa" w:w="1930"/>
          </w:tcPr>
          <w:p>
            <w:r>
              <w:rPr>
                <w:sz w:val="17"/>
              </w:rPr>
              <w:t>Class warnings, plus gastrointestinal effects</w:t>
            </w:r>
          </w:p>
        </w:tc>
        <w:tc>
          <w:tcPr>
            <w:tcW w:type="dxa" w:w="1930"/>
          </w:tcPr>
          <w:p>
            <w:r>
              <w:rPr>
                <w:sz w:val="17"/>
              </w:rPr>
              <w:t>Pooled safety across all studies</w:t>
            </w:r>
          </w:p>
        </w:tc>
        <w:tc>
          <w:tcPr>
            <w:tcW w:type="dxa" w:w="1930"/>
          </w:tcPr>
          <w:p>
            <w:r>
              <w:rPr>
                <w:sz w:val="17"/>
              </w:rPr>
              <w:t>High</w:t>
            </w:r>
          </w:p>
        </w:tc>
        <w:tc>
          <w:tcPr>
            <w:tcW w:type="dxa" w:w="1930"/>
          </w:tcPr>
          <w:p>
            <w:r>
              <w:rPr>
                <w:sz w:val="17"/>
              </w:rPr>
              <w:t>Content is largely determined by the class rather than by this molecule.</w:t>
            </w:r>
          </w:p>
        </w:tc>
      </w:tr>
      <w:tr>
        <w:tc>
          <w:tcPr>
            <w:tcW w:type="dxa" w:w="1930"/>
          </w:tcPr>
          <w:p>
            <w:r>
              <w:rPr>
                <w:sz w:val="17"/>
              </w:rPr>
              <w:t>6 — Adverse Reactions</w:t>
            </w:r>
          </w:p>
        </w:tc>
        <w:tc>
          <w:tcPr>
            <w:tcW w:type="dxa" w:w="1930"/>
          </w:tcPr>
          <w:p>
            <w:r>
              <w:rPr>
                <w:sz w:val="17"/>
              </w:rPr>
              <w:t>Full tabulated incidence, including GI discontinuation</w:t>
            </w:r>
          </w:p>
        </w:tc>
        <w:tc>
          <w:tcPr>
            <w:tcW w:type="dxa" w:w="1930"/>
          </w:tcPr>
          <w:p>
            <w:r>
              <w:rPr>
                <w:sz w:val="17"/>
              </w:rPr>
              <w:t>Integrated Summary of Safety</w:t>
            </w:r>
          </w:p>
        </w:tc>
        <w:tc>
          <w:tcPr>
            <w:tcW w:type="dxa" w:w="1930"/>
          </w:tcPr>
          <w:p>
            <w:r>
              <w:rPr>
                <w:sz w:val="17"/>
              </w:rPr>
              <w:t>High</w:t>
            </w:r>
          </w:p>
        </w:tc>
        <w:tc>
          <w:tcPr>
            <w:tcW w:type="dxa" w:w="1930"/>
          </w:tcPr>
          <w:p>
            <w:r>
              <w:rPr>
                <w:sz w:val="17"/>
              </w:rPr>
              <w:t>⚠ The GI discontinuation rate appears here as a NUMBER regardless of the claim outcome. Section 6 is descriptive and is not a claim.</w:t>
            </w:r>
          </w:p>
        </w:tc>
      </w:tr>
      <w:tr>
        <w:tc>
          <w:tcPr>
            <w:tcW w:type="dxa" w:w="1930"/>
          </w:tcPr>
          <w:p>
            <w:r>
              <w:rPr>
                <w:sz w:val="17"/>
              </w:rPr>
              <w:t>14 — Clinical Studies</w:t>
            </w:r>
          </w:p>
        </w:tc>
        <w:tc>
          <w:tcPr>
            <w:tcW w:type="dxa" w:w="1930"/>
          </w:tcPr>
          <w:p>
            <w:r>
              <w:rPr>
                <w:sz w:val="17"/>
              </w:rPr>
              <w:t>Both pivotals described, with the primary and key secondary results</w:t>
            </w:r>
          </w:p>
        </w:tc>
        <w:tc>
          <w:tcPr>
            <w:tcW w:type="dxa" w:w="1930"/>
          </w:tcPr>
          <w:p>
            <w:r>
              <w:rPr>
                <w:sz w:val="17"/>
              </w:rPr>
              <w:t>The clinical study reports</w:t>
            </w:r>
          </w:p>
        </w:tc>
        <w:tc>
          <w:tcPr>
            <w:tcW w:type="dxa" w:w="1930"/>
          </w:tcPr>
          <w:p>
            <w:r>
              <w:rPr>
                <w:sz w:val="17"/>
              </w:rPr>
              <w:t>High</w:t>
            </w:r>
          </w:p>
        </w:tc>
        <w:tc>
          <w:tcPr>
            <w:tcW w:type="dxa" w:w="1930"/>
          </w:tcPr>
          <w:p>
            <w:r>
              <w:rPr>
                <w:sz w:val="17"/>
              </w:rPr>
              <w:t>What the sales force may reference. Anything not in section 14 cannot be promoted.</w:t>
            </w:r>
          </w:p>
        </w:tc>
      </w:tr>
      <w:tr>
        <w:tc>
          <w:tcPr>
            <w:tcW w:type="dxa" w:w="1930"/>
          </w:tcPr>
          <w:p>
            <w:r>
              <w:rPr>
                <w:sz w:val="17"/>
              </w:rPr>
              <w:t>— Comparative tolerability claim</w:t>
            </w:r>
          </w:p>
        </w:tc>
        <w:tc>
          <w:tcPr>
            <w:tcW w:type="dxa" w:w="1930"/>
          </w:tcPr>
          <w:p>
            <w:r>
              <w:rPr>
                <w:sz w:val="17"/>
              </w:rPr>
              <w:t>⚠ SOUGHT: a statement that VitaFlow is better tolerated than an active comparator</w:t>
            </w:r>
          </w:p>
        </w:tc>
        <w:tc>
          <w:tcPr>
            <w:tcW w:type="dxa" w:w="1930"/>
          </w:tcPr>
          <w:p>
            <w:r>
              <w:rPr>
                <w:sz w:val="17"/>
              </w:rPr>
              <w:t>Would require the tolerability endpoint to clear the testing hierarchy</w:t>
            </w:r>
          </w:p>
        </w:tc>
        <w:tc>
          <w:tcPr>
            <w:tcW w:type="dxa" w:w="1930"/>
          </w:tcPr>
          <w:p>
            <w:r>
              <w:rPr>
                <w:sz w:val="17"/>
              </w:rPr>
              <w:t>Low</w:t>
            </w:r>
          </w:p>
        </w:tc>
        <w:tc>
          <w:tcPr>
            <w:tcW w:type="dxa" w:w="1930"/>
          </w:tcPr>
          <w:p>
            <w:r>
              <w:rPr>
                <w:sz w:val="17"/>
              </w:rPr>
              <w:t>⚠⚠ Sits FOURTH in a six-position hierarchy. If any endpoint above it fails, testing stops and this becomes descriptive text in section 6 rather than a claim anywhere.</w:t>
            </w:r>
          </w:p>
        </w:tc>
      </w:tr>
    </w:tbl>
    <w:p/>
    <w:p>
      <w:r>
        <w:t>5 of 6 elements are high confidence. They are the parts of the label determined by the class, the enrolled population and the study design — matters where the agency has approved similar wording before and where the evidence either exists or does not in a way already visible.</w:t>
      </w:r>
    </w:p>
    <w:p>
      <w:pPr>
        <w:spacing w:before="120"/>
        <w:ind w:left="360"/>
      </w:pPr>
      <w:r>
        <w:rPr>
          <w:i/>
          <w:color w:val="12304A"/>
          <w:sz w:val="20"/>
        </w:rPr>
        <w:t>One element is low confidence, and it is the only one that would differentiate the product.</w:t>
      </w:r>
    </w:p>
    <w:p>
      <w:pPr>
        <w:spacing w:before="120"/>
        <w:ind w:left="360"/>
      </w:pPr>
      <w:r>
        <w:rPr>
          <w:i/>
          <w:color w:val="12304A"/>
          <w:sz w:val="20"/>
        </w:rPr>
        <w:t>Everything else on that list is table stakes. The indication, the dosing, the warnings, the adverse reaction table — a competitor already has all of them, and matching them wins nothing. The comparative tolerability claim is the only element on the list that would give a payer a reason to prefer this product, and it is the one the program is least confident of getting.</w:t>
      </w:r>
    </w:p>
    <w:p>
      <w:pPr>
        <w:spacing w:before="120"/>
        <w:ind w:left="360"/>
      </w:pPr>
      <w:r>
        <w:rPr>
          <w:i/>
          <w:color w:val="12304A"/>
          <w:sz w:val="20"/>
        </w:rPr>
        <w:t>That asymmetry is the entire commercial position of this program in one table, and it is why the labeling strategy is discussed at gates rather than left to the regulatory function.</w:t>
      </w:r>
    </w:p>
    <w:p>
      <w:pPr>
        <w:spacing w:before="320"/>
      </w:pPr>
      <w:r>
        <w:rPr>
          <w:b/>
          <w:color w:val="12304A"/>
          <w:sz w:val="28"/>
        </w:rPr>
        <w:t>3. The Hierarchy Decides What Can Be Claimed</w:t>
      </w:r>
    </w:p>
    <w:p>
      <w:r>
        <w:t>Endpoints are tested in a pre-specified order. Testing stops at the first failure, and everything below that point becomes descriptive rather than claimable — regardless of how favorable the numbers look.</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Position</w:t>
            </w:r>
          </w:p>
        </w:tc>
        <w:tc>
          <w:tcPr>
            <w:tcW w:type="dxa" w:w="2412"/>
          </w:tcPr>
          <w:p>
            <w:r>
              <w:rPr>
                <w:b/>
                <w:sz w:val="17"/>
              </w:rPr>
              <w:t>Endpoint</w:t>
            </w:r>
          </w:p>
        </w:tc>
        <w:tc>
          <w:tcPr>
            <w:tcW w:type="dxa" w:w="2412"/>
          </w:tcPr>
          <w:p>
            <w:r>
              <w:rPr>
                <w:b/>
                <w:sz w:val="17"/>
              </w:rPr>
              <w:t>Type</w:t>
            </w:r>
          </w:p>
        </w:tc>
        <w:tc>
          <w:tcPr>
            <w:tcW w:type="dxa" w:w="2412"/>
          </w:tcPr>
          <w:p>
            <w:r>
              <w:rPr>
                <w:b/>
                <w:sz w:val="17"/>
              </w:rPr>
              <w:t>If it succeeds</w:t>
            </w:r>
          </w:p>
        </w:tc>
      </w:tr>
      <w:tr>
        <w:tc>
          <w:tcPr>
            <w:tcW w:type="dxa" w:w="2412"/>
          </w:tcPr>
          <w:p>
            <w:r>
              <w:rPr>
                <w:sz w:val="17"/>
              </w:rPr>
              <w:t>1</w:t>
            </w:r>
          </w:p>
        </w:tc>
        <w:tc>
          <w:tcPr>
            <w:tcW w:type="dxa" w:w="2412"/>
          </w:tcPr>
          <w:p>
            <w:r>
              <w:rPr>
                <w:sz w:val="17"/>
              </w:rPr>
              <w:t>Mean percentage weight reduction, week 68</w:t>
            </w:r>
          </w:p>
        </w:tc>
        <w:tc>
          <w:tcPr>
            <w:tcW w:type="dxa" w:w="2412"/>
          </w:tcPr>
          <w:p>
            <w:r>
              <w:rPr>
                <w:sz w:val="17"/>
              </w:rPr>
              <w:t>Co-primary</w:t>
            </w:r>
          </w:p>
        </w:tc>
        <w:tc>
          <w:tcPr>
            <w:tcW w:type="dxa" w:w="2412"/>
          </w:tcPr>
          <w:p>
            <w:r>
              <w:rPr>
                <w:sz w:val="17"/>
              </w:rPr>
              <w:t>Claim</w:t>
            </w:r>
          </w:p>
        </w:tc>
      </w:tr>
      <w:tr>
        <w:tc>
          <w:tcPr>
            <w:tcW w:type="dxa" w:w="2412"/>
          </w:tcPr>
          <w:p>
            <w:r>
              <w:rPr>
                <w:sz w:val="17"/>
              </w:rPr>
              <w:t>2</w:t>
            </w:r>
          </w:p>
        </w:tc>
        <w:tc>
          <w:tcPr>
            <w:tcW w:type="dxa" w:w="2412"/>
          </w:tcPr>
          <w:p>
            <w:r>
              <w:rPr>
                <w:sz w:val="17"/>
              </w:rPr>
              <w:t>Proportion achieving ≥5% reduction</w:t>
            </w:r>
          </w:p>
        </w:tc>
        <w:tc>
          <w:tcPr>
            <w:tcW w:type="dxa" w:w="2412"/>
          </w:tcPr>
          <w:p>
            <w:r>
              <w:rPr>
                <w:sz w:val="17"/>
              </w:rPr>
              <w:t>Co-primary</w:t>
            </w:r>
          </w:p>
        </w:tc>
        <w:tc>
          <w:tcPr>
            <w:tcW w:type="dxa" w:w="2412"/>
          </w:tcPr>
          <w:p>
            <w:r>
              <w:rPr>
                <w:sz w:val="17"/>
              </w:rPr>
              <w:t>Claim</w:t>
            </w:r>
          </w:p>
        </w:tc>
      </w:tr>
      <w:tr>
        <w:tc>
          <w:tcPr>
            <w:tcW w:type="dxa" w:w="2412"/>
          </w:tcPr>
          <w:p>
            <w:r>
              <w:rPr>
                <w:sz w:val="17"/>
              </w:rPr>
              <w:t>3</w:t>
            </w:r>
          </w:p>
        </w:tc>
        <w:tc>
          <w:tcPr>
            <w:tcW w:type="dxa" w:w="2412"/>
          </w:tcPr>
          <w:p>
            <w:r>
              <w:rPr>
                <w:sz w:val="17"/>
              </w:rPr>
              <w:t>Proportion achieving ≥10% reduction</w:t>
            </w:r>
          </w:p>
        </w:tc>
        <w:tc>
          <w:tcPr>
            <w:tcW w:type="dxa" w:w="2412"/>
          </w:tcPr>
          <w:p>
            <w:r>
              <w:rPr>
                <w:sz w:val="17"/>
              </w:rPr>
              <w:t>Key secondary</w:t>
            </w:r>
          </w:p>
        </w:tc>
        <w:tc>
          <w:tcPr>
            <w:tcW w:type="dxa" w:w="2412"/>
          </w:tcPr>
          <w:p>
            <w:r>
              <w:rPr>
                <w:sz w:val="17"/>
              </w:rPr>
              <w:t>Claim</w:t>
            </w:r>
          </w:p>
        </w:tc>
      </w:tr>
      <w:tr>
        <w:tc>
          <w:tcPr>
            <w:tcW w:type="dxa" w:w="2412"/>
          </w:tcPr>
          <w:p>
            <w:r>
              <w:rPr>
                <w:sz w:val="17"/>
              </w:rPr>
              <w:t>4</w:t>
            </w:r>
          </w:p>
        </w:tc>
        <w:tc>
          <w:tcPr>
            <w:tcW w:type="dxa" w:w="2412"/>
          </w:tcPr>
          <w:p>
            <w:r>
              <w:rPr>
                <w:sz w:val="17"/>
              </w:rPr>
              <w:t>GI-attributed discontinuation vs comparator</w:t>
            </w:r>
          </w:p>
        </w:tc>
        <w:tc>
          <w:tcPr>
            <w:tcW w:type="dxa" w:w="2412"/>
          </w:tcPr>
          <w:p>
            <w:r>
              <w:rPr>
                <w:sz w:val="17"/>
              </w:rPr>
              <w:t>Key secondary</w:t>
            </w:r>
          </w:p>
        </w:tc>
        <w:tc>
          <w:tcPr>
            <w:tcW w:type="dxa" w:w="2412"/>
          </w:tcPr>
          <w:p>
            <w:r>
              <w:rPr>
                <w:sz w:val="17"/>
              </w:rPr>
              <w:t>⚠ The differentiator</w:t>
            </w:r>
          </w:p>
        </w:tc>
      </w:tr>
      <w:tr>
        <w:tc>
          <w:tcPr>
            <w:tcW w:type="dxa" w:w="2412"/>
          </w:tcPr>
          <w:p>
            <w:r>
              <w:rPr>
                <w:sz w:val="17"/>
              </w:rPr>
              <w:t>5</w:t>
            </w:r>
          </w:p>
        </w:tc>
        <w:tc>
          <w:tcPr>
            <w:tcW w:type="dxa" w:w="2412"/>
          </w:tcPr>
          <w:p>
            <w:r>
              <w:rPr>
                <w:sz w:val="17"/>
              </w:rPr>
              <w:t>Waist circumference change</w:t>
            </w:r>
          </w:p>
        </w:tc>
        <w:tc>
          <w:tcPr>
            <w:tcW w:type="dxa" w:w="2412"/>
          </w:tcPr>
          <w:p>
            <w:r>
              <w:rPr>
                <w:sz w:val="17"/>
              </w:rPr>
              <w:t>Secondary</w:t>
            </w:r>
          </w:p>
        </w:tc>
        <w:tc>
          <w:tcPr>
            <w:tcW w:type="dxa" w:w="2412"/>
          </w:tcPr>
          <w:p>
            <w:r>
              <w:rPr>
                <w:sz w:val="17"/>
              </w:rPr>
              <w:t>Supportive</w:t>
            </w:r>
          </w:p>
        </w:tc>
      </w:tr>
      <w:tr>
        <w:tc>
          <w:tcPr>
            <w:tcW w:type="dxa" w:w="2412"/>
          </w:tcPr>
          <w:p>
            <w:r>
              <w:rPr>
                <w:sz w:val="17"/>
              </w:rPr>
              <w:t>6</w:t>
            </w:r>
          </w:p>
        </w:tc>
        <w:tc>
          <w:tcPr>
            <w:tcW w:type="dxa" w:w="2412"/>
          </w:tcPr>
          <w:p>
            <w:r>
              <w:rPr>
                <w:sz w:val="17"/>
              </w:rPr>
              <w:t>Patient-reported outcome, physical function</w:t>
            </w:r>
          </w:p>
        </w:tc>
        <w:tc>
          <w:tcPr>
            <w:tcW w:type="dxa" w:w="2412"/>
          </w:tcPr>
          <w:p>
            <w:r>
              <w:rPr>
                <w:sz w:val="17"/>
              </w:rPr>
              <w:t>Secondary</w:t>
            </w:r>
          </w:p>
        </w:tc>
        <w:tc>
          <w:tcPr>
            <w:tcW w:type="dxa" w:w="2412"/>
          </w:tcPr>
          <w:p>
            <w:r>
              <w:rPr>
                <w:sz w:val="17"/>
              </w:rPr>
              <w:t>Supportive</w:t>
            </w:r>
          </w:p>
        </w:tc>
      </w:tr>
    </w:tbl>
    <w:p/>
    <w:p>
      <w:pPr>
        <w:spacing w:before="120"/>
        <w:ind w:left="360"/>
      </w:pPr>
      <w:r>
        <w:rPr>
          <w:i/>
          <w:color w:val="12304A"/>
          <w:sz w:val="20"/>
        </w:rPr>
        <w:t>The differentiating claim sits fourth, and that position was chosen deliberately.</w:t>
      </w:r>
    </w:p>
    <w:p>
      <w:pPr>
        <w:spacing w:before="120"/>
        <w:ind w:left="360"/>
      </w:pPr>
      <w:r>
        <w:rPr>
          <w:i/>
          <w:color w:val="12304A"/>
          <w:sz w:val="20"/>
        </w:rPr>
        <w:t>Putting the tolerability endpoint higher would have improved its chance of being claimable — and would have risked the entire efficacy claim to protect a differentiation claim. If a comparative tolerability endpoint placed first had failed, testing would have stopped before the co-primaries were tested at all, and the program would have had no approvable claim whatsoever.</w:t>
      </w:r>
    </w:p>
    <w:p>
      <w:pPr>
        <w:spacing w:before="120"/>
        <w:ind w:left="360"/>
      </w:pPr>
      <w:r>
        <w:rPr>
          <w:i/>
          <w:color w:val="12304A"/>
          <w:sz w:val="20"/>
        </w:rPr>
        <w:t>Position four is the correct answer to the wrong question. It protects the approval and it almost guarantees the differentiator arrives as descriptive text. The fact base asserts the position is not first or second, because a program that made the other choice would be one bad result away from having nothing.</w:t>
      </w:r>
    </w:p>
    <w:p>
      <w:r>
        <w:t>What this means practically: the GI discontinuation figure appears in section 6 either way. The number is reported regardless. The question is only whether it may also be stated as a comparison — and a number in the adverse reactions table is not something a sales representative may build an argument around, while a claim in section 14 is.</w:t>
      </w:r>
    </w:p>
    <w:p>
      <w:pPr>
        <w:spacing w:before="320"/>
      </w:pPr>
      <w:r>
        <w:rPr>
          <w:b/>
          <w:color w:val="12304A"/>
          <w:sz w:val="28"/>
        </w:rPr>
        <w:t>4. What the Sponsor Can Influence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Lever</w:t>
            </w:r>
          </w:p>
        </w:tc>
        <w:tc>
          <w:tcPr>
            <w:tcW w:type="dxa" w:w="3216"/>
          </w:tcPr>
          <w:p>
            <w:r>
              <w:rPr>
                <w:b/>
                <w:sz w:val="17"/>
              </w:rPr>
              <w:t>Influence</w:t>
            </w:r>
          </w:p>
        </w:tc>
        <w:tc>
          <w:tcPr>
            <w:tcW w:type="dxa" w:w="3216"/>
          </w:tcPr>
          <w:p>
            <w:r>
              <w:rPr>
                <w:b/>
                <w:sz w:val="17"/>
              </w:rPr>
              <w:t>Why</w:t>
            </w:r>
          </w:p>
        </w:tc>
      </w:tr>
      <w:tr>
        <w:tc>
          <w:tcPr>
            <w:tcW w:type="dxa" w:w="3216"/>
          </w:tcPr>
          <w:p>
            <w:r>
              <w:rPr>
                <w:sz w:val="17"/>
              </w:rPr>
              <w:t>The evidence generated</w:t>
            </w:r>
          </w:p>
        </w:tc>
        <w:tc>
          <w:tcPr>
            <w:tcW w:type="dxa" w:w="3216"/>
          </w:tcPr>
          <w:p>
            <w:r>
              <w:rPr>
                <w:sz w:val="17"/>
              </w:rPr>
              <w:t>Real</w:t>
            </w:r>
          </w:p>
        </w:tc>
        <w:tc>
          <w:tcPr>
            <w:tcW w:type="dxa" w:w="3216"/>
          </w:tcPr>
          <w:p>
            <w:r>
              <w:rPr>
                <w:sz w:val="17"/>
              </w:rPr>
              <w:t>Decided years earlier, in the protocol. By the time labeling is negotiated the evidence is fixed and the only question is what it supports.</w:t>
            </w:r>
          </w:p>
        </w:tc>
      </w:tr>
      <w:tr>
        <w:tc>
          <w:tcPr>
            <w:tcW w:type="dxa" w:w="3216"/>
          </w:tcPr>
          <w:p>
            <w:r>
              <w:rPr>
                <w:sz w:val="17"/>
              </w:rPr>
              <w:t>The proposed wording submitted</w:t>
            </w:r>
          </w:p>
        </w:tc>
        <w:tc>
          <w:tcPr>
            <w:tcW w:type="dxa" w:w="3216"/>
          </w:tcPr>
          <w:p>
            <w:r>
              <w:rPr>
                <w:sz w:val="17"/>
              </w:rPr>
              <w:t>Real</w:t>
            </w:r>
          </w:p>
        </w:tc>
        <w:tc>
          <w:tcPr>
            <w:tcW w:type="dxa" w:w="3216"/>
          </w:tcPr>
          <w:p>
            <w:r>
              <w:rPr>
                <w:sz w:val="17"/>
              </w:rPr>
              <w:t>The sponsor drafts the label it wants. ⚠ Proposing wording the data cannot support wastes review cycles and signals a sponsor that does not read its own results.</w:t>
            </w:r>
          </w:p>
        </w:tc>
      </w:tr>
      <w:tr>
        <w:tc>
          <w:tcPr>
            <w:tcW w:type="dxa" w:w="3216"/>
          </w:tcPr>
          <w:p>
            <w:r>
              <w:rPr>
                <w:sz w:val="17"/>
              </w:rPr>
              <w:t>The Pre-NDA discussion</w:t>
            </w:r>
          </w:p>
        </w:tc>
        <w:tc>
          <w:tcPr>
            <w:tcW w:type="dxa" w:w="3216"/>
          </w:tcPr>
          <w:p>
            <w:r>
              <w:rPr>
                <w:sz w:val="17"/>
              </w:rPr>
              <w:t>Partial</w:t>
            </w:r>
          </w:p>
        </w:tc>
        <w:tc>
          <w:tcPr>
            <w:tcW w:type="dxa" w:w="3216"/>
          </w:tcPr>
          <w:p>
            <w:r>
              <w:rPr>
                <w:sz w:val="17"/>
              </w:rPr>
              <w:t>Content and format are agreed; specific claim language is not negotiated in advance.</w:t>
            </w:r>
          </w:p>
        </w:tc>
      </w:tr>
      <w:tr>
        <w:tc>
          <w:tcPr>
            <w:tcW w:type="dxa" w:w="3216"/>
          </w:tcPr>
          <w:p>
            <w:r>
              <w:rPr>
                <w:sz w:val="17"/>
              </w:rPr>
              <w:t>Labeling negotiation during review</w:t>
            </w:r>
          </w:p>
        </w:tc>
        <w:tc>
          <w:tcPr>
            <w:tcW w:type="dxa" w:w="3216"/>
          </w:tcPr>
          <w:p>
            <w:r>
              <w:rPr>
                <w:sz w:val="17"/>
              </w:rPr>
              <w:t>Partial</w:t>
            </w:r>
          </w:p>
        </w:tc>
        <w:tc>
          <w:tcPr>
            <w:tcW w:type="dxa" w:w="3216"/>
          </w:tcPr>
          <w:p>
            <w:r>
              <w:rPr>
                <w:sz w:val="17"/>
              </w:rPr>
              <w:t>Genuine back-and-forth, but conducted from a position where the agency holds every card and the clock is running.</w:t>
            </w:r>
          </w:p>
        </w:tc>
      </w:tr>
      <w:tr>
        <w:tc>
          <w:tcPr>
            <w:tcW w:type="dxa" w:w="3216"/>
          </w:tcPr>
          <w:p>
            <w:r>
              <w:rPr>
                <w:sz w:val="17"/>
              </w:rPr>
              <w:t>Whether a claim is granted</w:t>
            </w:r>
          </w:p>
        </w:tc>
        <w:tc>
          <w:tcPr>
            <w:tcW w:type="dxa" w:w="3216"/>
          </w:tcPr>
          <w:p>
            <w:r>
              <w:rPr>
                <w:sz w:val="17"/>
              </w:rPr>
              <w:t>None</w:t>
            </w:r>
          </w:p>
        </w:tc>
        <w:tc>
          <w:tcPr>
            <w:tcW w:type="dxa" w:w="3216"/>
          </w:tcPr>
          <w:p>
            <w:r>
              <w:rPr>
                <w:sz w:val="17"/>
              </w:rPr>
              <w:t>⚠ Determined by whether the evidence cleared the hierarchy. No amount of advocacy substitutes for a statistically significant result in the right position.</w:t>
            </w:r>
          </w:p>
        </w:tc>
      </w:tr>
    </w:tbl>
    <w:p/>
    <w:p>
      <w:pPr>
        <w:spacing w:before="120"/>
        <w:ind w:left="360"/>
      </w:pPr>
      <w:r>
        <w:rPr>
          <w:i/>
          <w:color w:val="12304A"/>
          <w:sz w:val="20"/>
        </w:rPr>
        <w:t>The two real levers both closed years ago.</w:t>
      </w:r>
    </w:p>
    <w:p>
      <w:pPr>
        <w:spacing w:before="120"/>
        <w:ind w:left="360"/>
      </w:pPr>
      <w:r>
        <w:rPr>
          <w:i/>
          <w:color w:val="12304A"/>
          <w:sz w:val="20"/>
        </w:rPr>
        <w:t>The evidence generated was decided in the protocol. The proposed wording is drafted by the sponsor, and the only discipline available there is not to propose language the data cannot support — which wastes review cycles and signals a sponsor that has not read its own results carefully.</w:t>
      </w:r>
    </w:p>
    <w:p>
      <w:pPr>
        <w:spacing w:before="120"/>
        <w:ind w:left="360"/>
      </w:pPr>
      <w:r>
        <w:rPr>
          <w:i/>
          <w:color w:val="12304A"/>
          <w:sz w:val="20"/>
        </w:rPr>
        <w:t>Everything from the Pre-NDA meeting onward is partial at best: real back-and-forth, conducted from a position where the agency holds every card and the review clock is running. And whether a claim is granted at all is not influenceable, because it was settled by the hierarchy.</w:t>
      </w:r>
    </w:p>
    <w:p>
      <w:r>
        <w:t>The Pre-NDA meeting, scheduled August 2028, agrees content and format. It does not negotiate claim language, and a sponsor arriving hoping to pre-agree a claim has misunderstood what the meeting is for. What it can usefully establish is whether the agency considers the submission adequately organized to support the claims being made — which is a different and more answerable question.</w:t>
      </w:r>
    </w:p>
    <w:p>
      <w:pPr>
        <w:spacing w:before="320"/>
      </w:pPr>
      <w:r>
        <w:rPr>
          <w:b/>
          <w:color w:val="12304A"/>
          <w:sz w:val="28"/>
        </w:rPr>
        <w:t>5. The Consequence of Not Getting It</w:t>
      </w:r>
    </w:p>
    <w:p>
      <w:r>
        <w:t>Recorded here as an exposure rather than an outcome, because at the status date the trials have not read out.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If the claim is not granted</w:t>
            </w:r>
          </w:p>
        </w:tc>
        <w:tc>
          <w:tcPr>
            <w:tcW w:type="dxa" w:w="4824"/>
          </w:tcPr>
          <w:p>
            <w:r>
              <w:rPr>
                <w:b/>
                <w:sz w:val="17"/>
              </w:rPr>
              <w:t>Effect</w:t>
            </w:r>
          </w:p>
        </w:tc>
      </w:tr>
      <w:tr>
        <w:tc>
          <w:tcPr>
            <w:tcW w:type="dxa" w:w="4824"/>
          </w:tcPr>
          <w:p>
            <w:r>
              <w:rPr>
                <w:sz w:val="17"/>
              </w:rPr>
              <w:t>Commercially</w:t>
            </w:r>
          </w:p>
        </w:tc>
        <w:tc>
          <w:tcPr>
            <w:tcW w:type="dxa" w:w="4824"/>
          </w:tcPr>
          <w:p>
            <w:r>
              <w:rPr>
                <w:sz w:val="17"/>
              </w:rPr>
              <w:t>The product enters a crowded class matching incumbents on every labeled element and exceeding them on none. ⚠ Differentiation then rests entirely on price.</w:t>
            </w:r>
          </w:p>
        </w:tc>
      </w:tr>
      <w:tr>
        <w:tc>
          <w:tcPr>
            <w:tcW w:type="dxa" w:w="4824"/>
          </w:tcPr>
          <w:p>
            <w:r>
              <w:rPr>
                <w:sz w:val="17"/>
              </w:rPr>
              <w:t>On formulary access</w:t>
            </w:r>
          </w:p>
        </w:tc>
        <w:tc>
          <w:tcPr>
            <w:tcW w:type="dxa" w:w="4824"/>
          </w:tcPr>
          <w:p>
            <w:r>
              <w:rPr>
                <w:sz w:val="17"/>
              </w:rPr>
              <w:t>A payer choosing between comparable products chooses on net cost. Preferred-tier placement becomes substantially harder to secure, and the assumption behind the business case gets materially weaker.</w:t>
            </w:r>
          </w:p>
        </w:tc>
      </w:tr>
      <w:tr>
        <w:tc>
          <w:tcPr>
            <w:tcW w:type="dxa" w:w="4824"/>
          </w:tcPr>
          <w:p>
            <w:r>
              <w:rPr>
                <w:sz w:val="17"/>
              </w:rPr>
              <w:t>On the launch materials</w:t>
            </w:r>
          </w:p>
        </w:tc>
        <w:tc>
          <w:tcPr>
            <w:tcW w:type="dxa" w:w="4824"/>
          </w:tcPr>
          <w:p>
            <w:r>
              <w:rPr>
                <w:sz w:val="17"/>
              </w:rPr>
              <w:t>Anything built on the anticipated claim is unusable. Which is why the material is developed against the label actually granted, not the label sought — and why the launch build carries the risk it does.</w:t>
            </w:r>
          </w:p>
        </w:tc>
      </w:tr>
      <w:tr>
        <w:tc>
          <w:tcPr>
            <w:tcW w:type="dxa" w:w="4824"/>
          </w:tcPr>
          <w:p>
            <w:r>
              <w:rPr>
                <w:sz w:val="17"/>
              </w:rPr>
              <w:t>On the business case</w:t>
            </w:r>
          </w:p>
        </w:tc>
        <w:tc>
          <w:tcPr>
            <w:tcW w:type="dxa" w:w="4824"/>
          </w:tcPr>
          <w:p>
            <w:r>
              <w:rPr>
                <w:sz w:val="17"/>
              </w:rPr>
              <w:t>The gross-to-net assumption is the mechanism. A weak access position does not only reduce volume — ⚠ it makes each remaining unit more expensive to sell, because rebates and copay assistance both rise.</w:t>
            </w:r>
          </w:p>
        </w:tc>
      </w:tr>
    </w:tbl>
    <w:p/>
    <w:p>
      <w:pPr>
        <w:spacing w:before="120"/>
        <w:ind w:left="360"/>
      </w:pPr>
      <w:r>
        <w:rPr>
          <w:i/>
          <w:color w:val="12304A"/>
          <w:sz w:val="20"/>
        </w:rPr>
        <w:t>This is the exposure the Chief Financial Officer abstained over at Gate 4.</w:t>
      </w:r>
    </w:p>
    <w:p>
      <w:pPr>
        <w:spacing w:before="120"/>
        <w:ind w:left="360"/>
      </w:pPr>
      <w:r>
        <w:rPr>
          <w:i/>
          <w:color w:val="12304A"/>
          <w:sz w:val="20"/>
        </w:rPr>
        <w:t>The abstention was recorded against an un-refreshed gross-to-net assumption — and the reason that assumption matters is precisely this chain: no differentiating claim, weaker formulary position, deeper rebates, higher copay assistance, and a net price materially below the one in the business case.</w:t>
      </w:r>
    </w:p>
    <w:p>
      <w:pPr>
        <w:spacing w:before="120"/>
        <w:ind w:left="360"/>
      </w:pPr>
      <w:r>
        <w:rPr>
          <w:i/>
          <w:color w:val="12304A"/>
          <w:sz w:val="20"/>
        </w:rPr>
        <w:t>A single recorded abstention has now been referenced in the charter, the gate record, the risk report and this document, which is a reasonable definition of a governance mechanism working. It did not prevent anything. It made the exposure impossible to lose track of.</w:t>
      </w:r>
    </w:p>
    <w:p>
      <w:r>
        <w:t>Gate condition GC-03 exists for this, and it is the honest limit of what governance could do. A condition can require that the market access evidence package be built and executed. It cannot create a claim, and it cannot retroactively reposition an endpoint in a testing hierarchy that was fixed before the first participant was randomized.</w:t>
      </w:r>
    </w:p>
    <w:p>
      <w:pPr>
        <w:spacing w:before="320"/>
      </w:pPr>
      <w:r>
        <w:rPr>
          <w:b/>
          <w:color w:val="12304A"/>
          <w:sz w:val="28"/>
        </w:rPr>
        <w:t>6. What a Program Manager Should Take From This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Lesson</w:t>
            </w:r>
          </w:p>
        </w:tc>
        <w:tc>
          <w:tcPr>
            <w:tcW w:type="dxa" w:w="4824"/>
          </w:tcPr>
          <w:p>
            <w:r>
              <w:rPr>
                <w:b/>
                <w:sz w:val="17"/>
              </w:rPr>
              <w:t>Why it generalizes</w:t>
            </w:r>
          </w:p>
        </w:tc>
      </w:tr>
      <w:tr>
        <w:tc>
          <w:tcPr>
            <w:tcW w:type="dxa" w:w="4824"/>
          </w:tcPr>
          <w:p>
            <w:r>
              <w:rPr>
                <w:sz w:val="17"/>
              </w:rPr>
              <w:t>The commercial outcome is decided in a technical document</w:t>
            </w:r>
          </w:p>
        </w:tc>
        <w:tc>
          <w:tcPr>
            <w:tcW w:type="dxa" w:w="4824"/>
          </w:tcPr>
          <w:p>
            <w:r>
              <w:rPr>
                <w:sz w:val="17"/>
              </w:rPr>
              <w:t>The statistical analysis plan set the testing order, and the testing order set what could be claimed. ⚠ Nobody in that review was thinking about formulary position.</w:t>
            </w:r>
          </w:p>
        </w:tc>
      </w:tr>
      <w:tr>
        <w:tc>
          <w:tcPr>
            <w:tcW w:type="dxa" w:w="4824"/>
          </w:tcPr>
          <w:p>
            <w:r>
              <w:rPr>
                <w:sz w:val="17"/>
              </w:rPr>
              <w:t>Ask which decisions foreclose options</w:t>
            </w:r>
          </w:p>
        </w:tc>
        <w:tc>
          <w:tcPr>
            <w:tcW w:type="dxa" w:w="4824"/>
          </w:tcPr>
          <w:p>
            <w:r>
              <w:rPr>
                <w:sz w:val="17"/>
              </w:rPr>
              <w:t>Most program decisions are reversible at some cost. A hierarchy position, once the trial is running, is not. Those are the decisions that deserve disproportionate attention.</w:t>
            </w:r>
          </w:p>
        </w:tc>
      </w:tr>
      <w:tr>
        <w:tc>
          <w:tcPr>
            <w:tcW w:type="dxa" w:w="4824"/>
          </w:tcPr>
          <w:p>
            <w:r>
              <w:rPr>
                <w:sz w:val="17"/>
              </w:rPr>
              <w:t>The differentiator is usually the least protected thing in the plan</w:t>
            </w:r>
          </w:p>
        </w:tc>
        <w:tc>
          <w:tcPr>
            <w:tcW w:type="dxa" w:w="4824"/>
          </w:tcPr>
          <w:p>
            <w:r>
              <w:rPr>
                <w:sz w:val="17"/>
              </w:rPr>
              <w:t>It sits below the endpoints that secure approval, because approval comes first. That ordering is correct and its consequence should be stated out loud at the time.</w:t>
            </w:r>
          </w:p>
        </w:tc>
      </w:tr>
      <w:tr>
        <w:tc>
          <w:tcPr>
            <w:tcW w:type="dxa" w:w="4824"/>
          </w:tcPr>
          <w:p>
            <w:r>
              <w:rPr>
                <w:sz w:val="17"/>
              </w:rPr>
              <w:t>Table stakes and differentiation are different bets</w:t>
            </w:r>
          </w:p>
        </w:tc>
        <w:tc>
          <w:tcPr>
            <w:tcW w:type="dxa" w:w="4824"/>
          </w:tcPr>
          <w:p>
            <w:r>
              <w:rPr>
                <w:sz w:val="17"/>
              </w:rPr>
              <w:t>This program is highly confident of everything that wins nothing, and least confident of the one thing that would win something. Naming that early changes what a launch plan assumes.</w:t>
            </w:r>
          </w:p>
        </w:tc>
      </w:tr>
    </w:tbl>
    <w:p/>
    <w:p>
      <w:pPr>
        <w:spacing w:before="120"/>
        <w:ind w:left="360"/>
      </w:pPr>
      <w:r>
        <w:rPr>
          <w:i/>
          <w:color w:val="12304A"/>
          <w:sz w:val="20"/>
        </w:rPr>
        <w:t>The labeling strategy is the clearest example in this suite of a program executing almost perfectly and still missing its business case.</w:t>
      </w:r>
    </w:p>
    <w:p>
      <w:pPr>
        <w:spacing w:before="120"/>
        <w:ind w:left="360"/>
      </w:pPr>
      <w:r>
        <w:rPr>
          <w:i/>
          <w:color w:val="12304A"/>
          <w:sz w:val="20"/>
        </w:rPr>
        <w:t>Nothing in this document describes a mistake. The hierarchy is correctly ordered. The evidence is being generated properly. The Pre-NDA meeting is scheduled and the submission will be organized. And the differentiating claim is still probably not going to be granted, because the endpoint that would deliver it sits below three others that have to succeed first.</w:t>
      </w:r>
    </w:p>
    <w:p>
      <w:pPr>
        <w:spacing w:before="120"/>
        <w:ind w:left="360"/>
      </w:pPr>
      <w:r>
        <w:rPr>
          <w:i/>
          <w:color w:val="12304A"/>
          <w:sz w:val="20"/>
        </w:rPr>
        <w:t>Execution and outcome are separate things, and a program that cannot say so about itself will not learn anything from its own closure report.</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