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COMMERCIAL · VITALIS THERAPEUTICS INC. · ILLUSTRATIVE END-STATE SAMPLE — FORWARD-DATED, NOT RECONCILED</w:t>
      </w:r>
    </w:p>
    <w:p>
      <w:r>
        <w:rPr>
          <w:b/>
          <w:color w:val="12304A"/>
          <w:sz w:val="44"/>
        </w:rPr>
        <w:t>Launch Execution Report</w:t>
      </w:r>
    </w:p>
    <w:p>
      <w:r>
        <w:rPr>
          <w:i/>
          <w:color w:val="6B7280"/>
          <w:sz w:val="17"/>
        </w:rPr>
        <w:t>Vitalis Therapeutics Inc. · VitaFlow (VTX-401) · Launch Execution Report · 30 June 2030. Illustrative end-state sample — forward-dated, not reconciled. Fictional program.</w:t>
      </w:r>
    </w:p>
    <w:p/>
    <w:p>
      <w:r>
        <w:t>Vitalis Therapeutics Inc. — The opening commercial window for VitaFlow (VTX-401), November 2029 to June 2030: launch execution against the authorized plan, commercial outcome against forecast, the access mechanics behind the coverage number, and what was foreseeable and when.</w:t>
      </w:r>
    </w:p>
    <w:p>
      <w:pPr>
        <w:spacing w:before="120"/>
        <w:ind w:left="360"/>
      </w:pPr>
      <w:r>
        <w:rPr>
          <w:i/>
          <w:color w:val="12304A"/>
          <w:sz w:val="20"/>
        </w:rPr>
        <w:t>Forward-dated end-state sample. This report covers November 2029 to June 2030, the opening commercial window — more than three years beyond the 15 October 2026 status date of the in-flight suite, and deliberately not reconciled against it.</w:t>
      </w:r>
    </w:p>
    <w:p>
      <w:pPr>
        <w:spacing w:before="320"/>
      </w:pPr>
      <w:r>
        <w:rPr>
          <w:b/>
          <w:color w:val="12304A"/>
          <w:sz w:val="28"/>
        </w:rPr>
        <w:t>1. The Argument This Report Makes</w:t>
      </w:r>
    </w:p>
    <w:p>
      <w:r>
        <w:t>Launch reviews usually produce one verdict. This one produces two, because two different things happened.</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Question</w:t>
            </w:r>
          </w:p>
        </w:tc>
        <w:tc>
          <w:tcPr>
            <w:tcW w:type="dxa" w:w="4824"/>
          </w:tcPr>
          <w:p>
            <w:r>
              <w:rPr>
                <w:b/>
                <w:sz w:val="17"/>
              </w:rPr>
              <w:t>Answer</w:t>
            </w:r>
          </w:p>
        </w:tc>
      </w:tr>
      <w:tr>
        <w:tc>
          <w:tcPr>
            <w:tcW w:type="dxa" w:w="4824"/>
          </w:tcPr>
          <w:p>
            <w:r>
              <w:rPr>
                <w:sz w:val="17"/>
              </w:rPr>
              <w:t>Did the organization execute the launch it planned?</w:t>
            </w:r>
          </w:p>
        </w:tc>
        <w:tc>
          <w:tcPr>
            <w:tcW w:type="dxa" w:w="4824"/>
          </w:tcPr>
          <w:p>
            <w:r>
              <w:rPr>
                <w:sz w:val="17"/>
              </w:rPr>
              <w:t>Yes — 5 of 5</w:t>
            </w:r>
          </w:p>
        </w:tc>
      </w:tr>
      <w:tr>
        <w:tc>
          <w:tcPr>
            <w:tcW w:type="dxa" w:w="4824"/>
          </w:tcPr>
          <w:p>
            <w:r>
              <w:rPr>
                <w:sz w:val="17"/>
              </w:rPr>
              <w:t>Did the launch deliver the result it was planned to deliver?</w:t>
            </w:r>
          </w:p>
        </w:tc>
        <w:tc>
          <w:tcPr>
            <w:tcW w:type="dxa" w:w="4824"/>
          </w:tcPr>
          <w:p>
            <w:r>
              <w:rPr>
                <w:sz w:val="17"/>
              </w:rPr>
              <w:t>No — 0 of 4</w:t>
            </w:r>
          </w:p>
        </w:tc>
      </w:tr>
    </w:tbl>
    <w:p/>
    <w:p>
      <w:pPr>
        <w:spacing w:before="120"/>
        <w:ind w:left="360"/>
      </w:pPr>
      <w:r>
        <w:rPr>
          <w:i/>
          <w:color w:val="12304A"/>
          <w:sz w:val="20"/>
        </w:rPr>
        <w:t>Blending those into a single score would destroy the information in both.</w:t>
      </w:r>
    </w:p>
    <w:p>
      <w:pPr>
        <w:spacing w:before="120"/>
        <w:ind w:left="360"/>
      </w:pPr>
      <w:r>
        <w:rPr>
          <w:i/>
          <w:color w:val="12304A"/>
          <w:sz w:val="20"/>
        </w:rPr>
        <w:t>Score them together and you either punish a commercial team that did everything asked of it, or you credit a plan that was built on assumptions that did not hold. Neither is useful to whoever runs the next launch.</w:t>
      </w:r>
    </w:p>
    <w:p>
      <w:pPr>
        <w:spacing w:before="120"/>
        <w:ind w:left="360"/>
      </w:pPr>
      <w:r>
        <w:rPr>
          <w:i/>
          <w:color w:val="12304A"/>
          <w:sz w:val="20"/>
        </w:rPr>
        <w:t>Execution is a question about the last six months. Outcome is a question about the last four years. The people accountable for each are different people, and the lessons point in opposite directions.</w:t>
      </w:r>
    </w:p>
    <w:p>
      <w:pPr>
        <w:spacing w:before="320"/>
      </w:pPr>
      <w:r>
        <w:rPr>
          <w:b/>
          <w:color w:val="12304A"/>
          <w:sz w:val="28"/>
        </w:rPr>
        <w:t>2. Execution</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Date</w:t>
            </w:r>
          </w:p>
        </w:tc>
        <w:tc>
          <w:tcPr>
            <w:tcW w:type="dxa" w:w="2412"/>
          </w:tcPr>
          <w:p>
            <w:r>
              <w:rPr>
                <w:b/>
                <w:sz w:val="17"/>
              </w:rPr>
              <w:t>Milestone</w:t>
            </w:r>
          </w:p>
        </w:tc>
        <w:tc>
          <w:tcPr>
            <w:tcW w:type="dxa" w:w="2412"/>
          </w:tcPr>
          <w:p>
            <w:r>
              <w:rPr>
                <w:b/>
                <w:sz w:val="17"/>
              </w:rPr>
            </w:r>
          </w:p>
        </w:tc>
        <w:tc>
          <w:tcPr>
            <w:tcW w:type="dxa" w:w="2412"/>
          </w:tcPr>
          <w:p>
            <w:r>
              <w:rPr>
                <w:b/>
                <w:sz w:val="17"/>
              </w:rPr>
              <w:t>Note</w:t>
            </w:r>
          </w:p>
        </w:tc>
      </w:tr>
      <w:tr>
        <w:tc>
          <w:tcPr>
            <w:tcW w:type="dxa" w:w="2412"/>
          </w:tcPr>
          <w:p>
            <w:r>
              <w:rPr>
                <w:sz w:val="17"/>
              </w:rPr>
              <w:t>2029-10-05</w:t>
            </w:r>
          </w:p>
        </w:tc>
        <w:tc>
          <w:tcPr>
            <w:tcW w:type="dxa" w:w="2412"/>
          </w:tcPr>
          <w:p>
            <w:r>
              <w:rPr>
                <w:sz w:val="17"/>
              </w:rPr>
              <w:t>Approval received</w:t>
            </w:r>
          </w:p>
        </w:tc>
        <w:tc>
          <w:tcPr>
            <w:tcW w:type="dxa" w:w="2412"/>
          </w:tcPr>
          <w:p>
            <w:r>
              <w:rPr>
                <w:sz w:val="17"/>
              </w:rPr>
              <w:t>met</w:t>
            </w:r>
          </w:p>
        </w:tc>
        <w:tc>
          <w:tcPr>
            <w:tcW w:type="dxa" w:w="2412"/>
          </w:tcPr>
          <w:p>
            <w:r>
              <w:rPr>
                <w:sz w:val="17"/>
              </w:rPr>
              <w:t>Six days ahead of the action date.</w:t>
            </w:r>
          </w:p>
        </w:tc>
      </w:tr>
      <w:tr>
        <w:tc>
          <w:tcPr>
            <w:tcW w:type="dxa" w:w="2412"/>
          </w:tcPr>
          <w:p>
            <w:r>
              <w:rPr>
                <w:sz w:val="17"/>
              </w:rPr>
              <w:t>2029-10-09</w:t>
            </w:r>
          </w:p>
        </w:tc>
        <w:tc>
          <w:tcPr>
            <w:tcW w:type="dxa" w:w="2412"/>
          </w:tcPr>
          <w:p>
            <w:r>
              <w:rPr>
                <w:sz w:val="17"/>
              </w:rPr>
              <w:t>Label finalized and printed</w:t>
            </w:r>
          </w:p>
        </w:tc>
        <w:tc>
          <w:tcPr>
            <w:tcW w:type="dxa" w:w="2412"/>
          </w:tcPr>
          <w:p>
            <w:r>
              <w:rPr>
                <w:sz w:val="17"/>
              </w:rPr>
              <w:t>met</w:t>
            </w:r>
          </w:p>
        </w:tc>
        <w:tc>
          <w:tcPr>
            <w:tcW w:type="dxa" w:w="2412"/>
          </w:tcPr>
          <w:p>
            <w:r>
              <w:rPr>
                <w:sz w:val="17"/>
              </w:rPr>
              <w:t>Four days from approval.</w:t>
            </w:r>
          </w:p>
        </w:tc>
      </w:tr>
      <w:tr>
        <w:tc>
          <w:tcPr>
            <w:tcW w:type="dxa" w:w="2412"/>
          </w:tcPr>
          <w:p>
            <w:r>
              <w:rPr>
                <w:sz w:val="17"/>
              </w:rPr>
              <w:t>2029-10-18</w:t>
            </w:r>
          </w:p>
        </w:tc>
        <w:tc>
          <w:tcPr>
            <w:tcW w:type="dxa" w:w="2412"/>
          </w:tcPr>
          <w:p>
            <w:r>
              <w:rPr>
                <w:sz w:val="17"/>
              </w:rPr>
              <w:t>Launch quantity released</w:t>
            </w:r>
          </w:p>
        </w:tc>
        <w:tc>
          <w:tcPr>
            <w:tcW w:type="dxa" w:w="2412"/>
          </w:tcPr>
          <w:p>
            <w:r>
              <w:rPr>
                <w:sz w:val="17"/>
              </w:rPr>
              <w:t>met</w:t>
            </w:r>
          </w:p>
        </w:tc>
        <w:tc>
          <w:tcPr>
            <w:tcW w:type="dxa" w:w="2412"/>
          </w:tcPr>
          <w:p>
            <w:r>
              <w:rPr>
                <w:sz w:val="17"/>
              </w:rPr>
              <w:t>Batch release against qualified methods; cold chain verified to depot.</w:t>
            </w:r>
          </w:p>
        </w:tc>
      </w:tr>
      <w:tr>
        <w:tc>
          <w:tcPr>
            <w:tcW w:type="dxa" w:w="2412"/>
          </w:tcPr>
          <w:p>
            <w:r>
              <w:rPr>
                <w:sz w:val="17"/>
              </w:rPr>
              <w:t>2029-10-24</w:t>
            </w:r>
          </w:p>
        </w:tc>
        <w:tc>
          <w:tcPr>
            <w:tcW w:type="dxa" w:w="2412"/>
          </w:tcPr>
          <w:p>
            <w:r>
              <w:rPr>
                <w:sz w:val="17"/>
              </w:rPr>
              <w:t>Wholesaler stocking complete</w:t>
            </w:r>
          </w:p>
        </w:tc>
        <w:tc>
          <w:tcPr>
            <w:tcW w:type="dxa" w:w="2412"/>
          </w:tcPr>
          <w:p>
            <w:r>
              <w:rPr>
                <w:sz w:val="17"/>
              </w:rPr>
              <w:t>met</w:t>
            </w:r>
          </w:p>
        </w:tc>
        <w:tc>
          <w:tcPr>
            <w:tcW w:type="dxa" w:w="2412"/>
          </w:tcPr>
          <w:p>
            <w:r>
              <w:rPr>
                <w:sz w:val="17"/>
              </w:rPr>
              <w:t>Three national wholesalers, product available on order.</w:t>
            </w:r>
          </w:p>
        </w:tc>
      </w:tr>
      <w:tr>
        <w:tc>
          <w:tcPr>
            <w:tcW w:type="dxa" w:w="2412"/>
          </w:tcPr>
          <w:p>
            <w:r>
              <w:rPr>
                <w:sz w:val="17"/>
              </w:rPr>
              <w:t>2029-10-28</w:t>
            </w:r>
          </w:p>
        </w:tc>
        <w:tc>
          <w:tcPr>
            <w:tcW w:type="dxa" w:w="2412"/>
          </w:tcPr>
          <w:p>
            <w:r>
              <w:rPr>
                <w:sz w:val="17"/>
              </w:rPr>
              <w:t>Field force live on the approved label</w:t>
            </w:r>
          </w:p>
        </w:tc>
        <w:tc>
          <w:tcPr>
            <w:tcW w:type="dxa" w:w="2412"/>
          </w:tcPr>
          <w:p>
            <w:r>
              <w:rPr>
                <w:sz w:val="17"/>
              </w:rPr>
              <w:t>met</w:t>
            </w:r>
          </w:p>
        </w:tc>
        <w:tc>
          <w:tcPr>
            <w:tcW w:type="dxa" w:w="2412"/>
          </w:tcPr>
          <w:p>
            <w:r>
              <w:rPr>
                <w:sz w:val="17"/>
              </w:rPr>
              <w:t>Retrained in 12 working days from label finalization — the field cannot promote what it has not been trained on.</w:t>
            </w:r>
          </w:p>
        </w:tc>
      </w:tr>
      <w:tr>
        <w:tc>
          <w:tcPr>
            <w:tcW w:type="dxa" w:w="2412"/>
          </w:tcPr>
          <w:p>
            <w:r>
              <w:rPr>
                <w:sz w:val="17"/>
              </w:rPr>
              <w:t>2029-11-01</w:t>
            </w:r>
          </w:p>
        </w:tc>
        <w:tc>
          <w:tcPr>
            <w:tcW w:type="dxa" w:w="2412"/>
          </w:tcPr>
          <w:p>
            <w:r>
              <w:rPr>
                <w:sz w:val="17"/>
              </w:rPr>
              <w:t>First commercial shipment</w:t>
            </w:r>
          </w:p>
        </w:tc>
        <w:tc>
          <w:tcPr>
            <w:tcW w:type="dxa" w:w="2412"/>
          </w:tcPr>
          <w:p>
            <w:r>
              <w:rPr>
                <w:sz w:val="17"/>
              </w:rPr>
              <w:t>met</w:t>
            </w:r>
          </w:p>
        </w:tc>
        <w:tc>
          <w:tcPr>
            <w:tcW w:type="dxa" w:w="2412"/>
          </w:tcPr>
          <w:p>
            <w:r>
              <w:rPr>
                <w:sz w:val="17"/>
              </w:rPr>
              <w:t>On the Gate 6 authorized date.</w:t>
            </w:r>
          </w:p>
        </w:tc>
      </w:tr>
      <w:tr>
        <w:tc>
          <w:tcPr>
            <w:tcW w:type="dxa" w:w="2412"/>
          </w:tcPr>
          <w:p>
            <w:r>
              <w:rPr>
                <w:sz w:val="17"/>
              </w:rPr>
              <w:t>2029-11-04</w:t>
            </w:r>
          </w:p>
        </w:tc>
        <w:tc>
          <w:tcPr>
            <w:tcW w:type="dxa" w:w="2412"/>
          </w:tcPr>
          <w:p>
            <w:r>
              <w:rPr>
                <w:sz w:val="17"/>
              </w:rPr>
              <w:t>First prescription dispensed</w:t>
            </w:r>
          </w:p>
        </w:tc>
        <w:tc>
          <w:tcPr>
            <w:tcW w:type="dxa" w:w="2412"/>
          </w:tcPr>
          <w:p>
            <w:r>
              <w:rPr>
                <w:sz w:val="17"/>
              </w:rPr>
              <w:t>met</w:t>
            </w:r>
          </w:p>
        </w:tc>
        <w:tc>
          <w:tcPr>
            <w:tcW w:type="dxa" w:w="2412"/>
          </w:tcPr>
          <w:p>
            <w:r>
              <w:rPr>
                <w:sz w:val="17"/>
              </w:rPr>
              <w:t>Day 3 of launch.</w:t>
            </w:r>
          </w:p>
        </w:tc>
      </w:tr>
      <w:tr>
        <w:tc>
          <w:tcPr>
            <w:tcW w:type="dxa" w:w="2412"/>
          </w:tcPr>
          <w:p>
            <w:r>
              <w:rPr>
                <w:sz w:val="17"/>
              </w:rPr>
              <w:t>2029-11-15</w:t>
            </w:r>
          </w:p>
        </w:tc>
        <w:tc>
          <w:tcPr>
            <w:tcW w:type="dxa" w:w="2412"/>
          </w:tcPr>
          <w:p>
            <w:r>
              <w:rPr>
                <w:sz w:val="17"/>
              </w:rPr>
              <w:t>Patient support program live</w:t>
            </w:r>
          </w:p>
        </w:tc>
        <w:tc>
          <w:tcPr>
            <w:tcW w:type="dxa" w:w="2412"/>
          </w:tcPr>
          <w:p>
            <w:r>
              <w:rPr>
                <w:sz w:val="17"/>
              </w:rPr>
              <w:t>met</w:t>
            </w:r>
          </w:p>
        </w:tc>
        <w:tc>
          <w:tcPr>
            <w:tcW w:type="dxa" w:w="2412"/>
          </w:tcPr>
          <w:p>
            <w:r>
              <w:rPr>
                <w:sz w:val="17"/>
              </w:rPr>
              <w:t>Copay assistance, prior-authorization support, injection training.</w:t>
            </w:r>
          </w:p>
        </w:tc>
      </w:tr>
      <w:tr>
        <w:tc>
          <w:tcPr>
            <w:tcW w:type="dxa" w:w="2412"/>
          </w:tcPr>
          <w:p>
            <w:r>
              <w:rPr>
                <w:sz w:val="17"/>
              </w:rPr>
              <w:t>2030-01-15</w:t>
            </w:r>
          </w:p>
        </w:tc>
        <w:tc>
          <w:tcPr>
            <w:tcW w:type="dxa" w:w="2412"/>
          </w:tcPr>
          <w:p>
            <w:r>
              <w:rPr>
                <w:sz w:val="17"/>
              </w:rPr>
              <w:t>First formulary review cycle closed</w:t>
            </w:r>
          </w:p>
        </w:tc>
        <w:tc>
          <w:tcPr>
            <w:tcW w:type="dxa" w:w="2412"/>
          </w:tcPr>
          <w:p>
            <w:r>
              <w:rPr>
                <w:sz w:val="17"/>
              </w:rPr>
              <w:t>partial</w:t>
            </w:r>
          </w:p>
        </w:tc>
        <w:tc>
          <w:tcPr>
            <w:tcW w:type="dxa" w:w="2412"/>
          </w:tcPr>
          <w:p>
            <w:r>
              <w:rPr>
                <w:sz w:val="17"/>
              </w:rPr>
              <w:t>Coverage below plan — the first cycle is where a launch's access position is largely set.</w:t>
            </w:r>
          </w:p>
        </w:tc>
      </w:tr>
    </w:tbl>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Measure</w:t>
            </w:r>
          </w:p>
        </w:tc>
        <w:tc>
          <w:tcPr>
            <w:tcW w:type="dxa" w:w="3216"/>
          </w:tcPr>
          <w:p>
            <w:r>
              <w:rPr>
                <w:b/>
                <w:sz w:val="17"/>
              </w:rPr>
            </w:r>
          </w:p>
        </w:tc>
        <w:tc>
          <w:tcPr>
            <w:tcW w:type="dxa" w:w="3216"/>
          </w:tcPr>
          <w:p>
            <w:r>
              <w:rPr>
                <w:b/>
                <w:sz w:val="17"/>
              </w:rPr>
              <w:t>Evidence</w:t>
            </w:r>
          </w:p>
        </w:tc>
      </w:tr>
      <w:tr>
        <w:tc>
          <w:tcPr>
            <w:tcW w:type="dxa" w:w="3216"/>
          </w:tcPr>
          <w:p>
            <w:r>
              <w:rPr>
                <w:sz w:val="17"/>
              </w:rPr>
              <w:t>Supply available on day one</w:t>
            </w:r>
          </w:p>
        </w:tc>
        <w:tc>
          <w:tcPr>
            <w:tcW w:type="dxa" w:w="3216"/>
          </w:tcPr>
          <w:p>
            <w:r>
              <w:rPr>
                <w:sz w:val="17"/>
              </w:rPr>
              <w:t>met</w:t>
            </w:r>
          </w:p>
        </w:tc>
        <w:tc>
          <w:tcPr>
            <w:tcW w:type="dxa" w:w="3216"/>
          </w:tcPr>
          <w:p>
            <w:r>
              <w:rPr>
                <w:sz w:val="17"/>
              </w:rPr>
              <w:t>No stock-out, no back-order, no allocation.</w:t>
            </w:r>
          </w:p>
        </w:tc>
      </w:tr>
      <w:tr>
        <w:tc>
          <w:tcPr>
            <w:tcW w:type="dxa" w:w="3216"/>
          </w:tcPr>
          <w:p>
            <w:r>
              <w:rPr>
                <w:sz w:val="17"/>
              </w:rPr>
              <w:t>Field deployed and trained</w:t>
            </w:r>
          </w:p>
        </w:tc>
        <w:tc>
          <w:tcPr>
            <w:tcW w:type="dxa" w:w="3216"/>
          </w:tcPr>
          <w:p>
            <w:r>
              <w:rPr>
                <w:sz w:val="17"/>
              </w:rPr>
              <w:t>met</w:t>
            </w:r>
          </w:p>
        </w:tc>
        <w:tc>
          <w:tcPr>
            <w:tcW w:type="dxa" w:w="3216"/>
          </w:tcPr>
          <w:p>
            <w:r>
              <w:rPr>
                <w:sz w:val="17"/>
              </w:rPr>
              <w:t>100% trained before first shipment.</w:t>
            </w:r>
          </w:p>
        </w:tc>
      </w:tr>
      <w:tr>
        <w:tc>
          <w:tcPr>
            <w:tcW w:type="dxa" w:w="3216"/>
          </w:tcPr>
          <w:p>
            <w:r>
              <w:rPr>
                <w:sz w:val="17"/>
              </w:rPr>
              <w:t>Patient support operational</w:t>
            </w:r>
          </w:p>
        </w:tc>
        <w:tc>
          <w:tcPr>
            <w:tcW w:type="dxa" w:w="3216"/>
          </w:tcPr>
          <w:p>
            <w:r>
              <w:rPr>
                <w:sz w:val="17"/>
              </w:rPr>
              <w:t>met</w:t>
            </w:r>
          </w:p>
        </w:tc>
        <w:tc>
          <w:tcPr>
            <w:tcW w:type="dxa" w:w="3216"/>
          </w:tcPr>
          <w:p>
            <w:r>
              <w:rPr>
                <w:sz w:val="17"/>
              </w:rPr>
              <w:t>Live at day 14.</w:t>
            </w:r>
          </w:p>
        </w:tc>
      </w:tr>
      <w:tr>
        <w:tc>
          <w:tcPr>
            <w:tcW w:type="dxa" w:w="3216"/>
          </w:tcPr>
          <w:p>
            <w:r>
              <w:rPr>
                <w:sz w:val="17"/>
              </w:rPr>
              <w:t>Safety system handling post-market reports</w:t>
            </w:r>
          </w:p>
        </w:tc>
        <w:tc>
          <w:tcPr>
            <w:tcW w:type="dxa" w:w="3216"/>
          </w:tcPr>
          <w:p>
            <w:r>
              <w:rPr>
                <w:sz w:val="17"/>
              </w:rPr>
              <w:t>met</w:t>
            </w:r>
          </w:p>
        </w:tc>
        <w:tc>
          <w:tcPr>
            <w:tcW w:type="dxa" w:w="3216"/>
          </w:tcPr>
          <w:p>
            <w:r>
              <w:rPr>
                <w:sz w:val="17"/>
              </w:rPr>
              <w:t>Rebuilt for a marketed product, not carried over from the IND.</w:t>
            </w:r>
          </w:p>
        </w:tc>
      </w:tr>
      <w:tr>
        <w:tc>
          <w:tcPr>
            <w:tcW w:type="dxa" w:w="3216"/>
          </w:tcPr>
          <w:p>
            <w:r>
              <w:rPr>
                <w:sz w:val="17"/>
              </w:rPr>
              <w:t>Launch delivered on the authorized date</w:t>
            </w:r>
          </w:p>
        </w:tc>
        <w:tc>
          <w:tcPr>
            <w:tcW w:type="dxa" w:w="3216"/>
          </w:tcPr>
          <w:p>
            <w:r>
              <w:rPr>
                <w:sz w:val="17"/>
              </w:rPr>
              <w:t>met</w:t>
            </w:r>
          </w:p>
        </w:tc>
        <w:tc>
          <w:tcPr>
            <w:tcW w:type="dxa" w:w="3216"/>
          </w:tcPr>
          <w:p>
            <w:r>
              <w:rPr>
                <w:sz w:val="17"/>
              </w:rPr>
              <w:t>2029-11-01.</w:t>
            </w:r>
          </w:p>
        </w:tc>
      </w:tr>
    </w:tbl>
    <w:p/>
    <w:p>
      <w:pPr>
        <w:spacing w:before="120"/>
        <w:ind w:left="360"/>
      </w:pPr>
      <w:r>
        <w:rPr>
          <w:i/>
          <w:color w:val="12304A"/>
          <w:sz w:val="20"/>
        </w:rPr>
        <w:t>The compressed sequence between approval and first shipment is the part worth studying. Approval on 2029-10-05; label finalized four days later; launch quantity released in thirteen; field force retrained and live in twenty-three; first shipment on the authorized date.</w:t>
      </w:r>
    </w:p>
    <w:p>
      <w:pPr>
        <w:spacing w:before="120"/>
        <w:ind w:left="360"/>
      </w:pPr>
      <w:r>
        <w:rPr>
          <w:i/>
          <w:color w:val="12304A"/>
          <w:sz w:val="20"/>
        </w:rPr>
        <w:t>None of that is possible without work done long beforehand. The launch quantity was manufactured before approval — a deliberate decision to build inventory for a product that might never be approved, taken on the same logic as starting stability early. The field training materials existed in draft against several possible label outcomes. Speed at launch is purchased months earlier, at risk.</w:t>
      </w:r>
    </w:p>
    <w:p>
      <w:r>
        <w:t>One detail is easy to skim past. The field force went live on the approved label, not the sought label, and retraining took twelve working days. A commercial organization that had trained against the label it hoped for would have needed far longer, and would have spent the opening weeks of launch either silent or non-compliant.</w:t>
      </w:r>
    </w:p>
    <w:p>
      <w:pPr>
        <w:spacing w:before="320"/>
      </w:pPr>
      <w:r>
        <w:rPr>
          <w:b/>
          <w:color w:val="12304A"/>
          <w:sz w:val="28"/>
        </w:rPr>
        <w:t>3. Outcome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Measure</w:t>
            </w:r>
          </w:p>
        </w:tc>
        <w:tc>
          <w:tcPr>
            <w:tcW w:type="dxa" w:w="3216"/>
          </w:tcPr>
          <w:p>
            <w:r>
              <w:rPr>
                <w:b/>
                <w:sz w:val="17"/>
              </w:rPr>
            </w:r>
          </w:p>
        </w:tc>
        <w:tc>
          <w:tcPr>
            <w:tcW w:type="dxa" w:w="3216"/>
          </w:tcPr>
          <w:p>
            <w:r>
              <w:rPr>
                <w:b/>
                <w:sz w:val="17"/>
              </w:rPr>
              <w:t>Evidence</w:t>
            </w:r>
          </w:p>
        </w:tc>
      </w:tr>
      <w:tr>
        <w:tc>
          <w:tcPr>
            <w:tcW w:type="dxa" w:w="3216"/>
          </w:tcPr>
          <w:p>
            <w:r>
              <w:rPr>
                <w:sz w:val="17"/>
              </w:rPr>
              <w:t>Covered lives at plan</w:t>
            </w:r>
          </w:p>
        </w:tc>
        <w:tc>
          <w:tcPr>
            <w:tcW w:type="dxa" w:w="3216"/>
          </w:tcPr>
          <w:p>
            <w:r>
              <w:rPr>
                <w:sz w:val="17"/>
              </w:rPr>
              <w:t>missed</w:t>
            </w:r>
          </w:p>
        </w:tc>
        <w:tc>
          <w:tcPr>
            <w:tcW w:type="dxa" w:w="3216"/>
          </w:tcPr>
          <w:p>
            <w:r>
              <w:rPr>
                <w:sz w:val="17"/>
              </w:rPr>
              <w:t>44% against 62% assumed.</w:t>
            </w:r>
          </w:p>
        </w:tc>
      </w:tr>
      <w:tr>
        <w:tc>
          <w:tcPr>
            <w:tcW w:type="dxa" w:w="3216"/>
          </w:tcPr>
          <w:p>
            <w:r>
              <w:rPr>
                <w:sz w:val="17"/>
              </w:rPr>
              <w:t>Net price at plan</w:t>
            </w:r>
          </w:p>
        </w:tc>
        <w:tc>
          <w:tcPr>
            <w:tcW w:type="dxa" w:w="3216"/>
          </w:tcPr>
          <w:p>
            <w:r>
              <w:rPr>
                <w:sz w:val="17"/>
              </w:rPr>
              <w:t>missed</w:t>
            </w:r>
          </w:p>
        </w:tc>
        <w:tc>
          <w:tcPr>
            <w:tcW w:type="dxa" w:w="3216"/>
          </w:tcPr>
          <w:p>
            <w:r>
              <w:rPr>
                <w:sz w:val="17"/>
              </w:rPr>
              <w:t>$11,050 against $12,500.</w:t>
            </w:r>
          </w:p>
        </w:tc>
      </w:tr>
      <w:tr>
        <w:tc>
          <w:tcPr>
            <w:tcW w:type="dxa" w:w="3216"/>
          </w:tcPr>
          <w:p>
            <w:r>
              <w:rPr>
                <w:sz w:val="17"/>
              </w:rPr>
              <w:t>Patients on therapy at plan</w:t>
            </w:r>
          </w:p>
        </w:tc>
        <w:tc>
          <w:tcPr>
            <w:tcW w:type="dxa" w:w="3216"/>
          </w:tcPr>
          <w:p>
            <w:r>
              <w:rPr>
                <w:sz w:val="17"/>
              </w:rPr>
              <w:t>missed</w:t>
            </w:r>
          </w:p>
        </w:tc>
        <w:tc>
          <w:tcPr>
            <w:tcW w:type="dxa" w:w="3216"/>
          </w:tcPr>
          <w:p>
            <w:r>
              <w:rPr>
                <w:sz w:val="17"/>
              </w:rPr>
              <w:t>11,600 against 14,200.</w:t>
            </w:r>
          </w:p>
        </w:tc>
      </w:tr>
      <w:tr>
        <w:tc>
          <w:tcPr>
            <w:tcW w:type="dxa" w:w="3216"/>
          </w:tcPr>
          <w:p>
            <w:r>
              <w:rPr>
                <w:sz w:val="17"/>
              </w:rPr>
              <w:t>Revenue at plan</w:t>
            </w:r>
          </w:p>
        </w:tc>
        <w:tc>
          <w:tcPr>
            <w:tcW w:type="dxa" w:w="3216"/>
          </w:tcPr>
          <w:p>
            <w:r>
              <w:rPr>
                <w:sz w:val="17"/>
              </w:rPr>
              <w:t>missed</w:t>
            </w:r>
          </w:p>
        </w:tc>
        <w:tc>
          <w:tcPr>
            <w:tcW w:type="dxa" w:w="3216"/>
          </w:tcPr>
          <w:p>
            <w:r>
              <w:rPr>
                <w:sz w:val="17"/>
              </w:rPr>
              <w:t>$91.4M against $118M.</w:t>
            </w:r>
          </w:p>
        </w:tc>
      </w:tr>
    </w:tbl>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Measure</w:t>
            </w:r>
          </w:p>
        </w:tc>
        <w:tc>
          <w:tcPr>
            <w:tcW w:type="dxa" w:w="2412"/>
          </w:tcPr>
          <w:p>
            <w:r>
              <w:rPr>
                <w:b/>
                <w:sz w:val="17"/>
              </w:rPr>
              <w:t>Plan</w:t>
            </w:r>
          </w:p>
        </w:tc>
        <w:tc>
          <w:tcPr>
            <w:tcW w:type="dxa" w:w="2412"/>
          </w:tcPr>
          <w:p>
            <w:r>
              <w:rPr>
                <w:b/>
                <w:sz w:val="17"/>
              </w:rPr>
              <w:t>Actual</w:t>
            </w:r>
          </w:p>
        </w:tc>
        <w:tc>
          <w:tcPr>
            <w:tcW w:type="dxa" w:w="2412"/>
          </w:tcPr>
          <w:p>
            <w:r>
              <w:rPr>
                <w:b/>
                <w:sz w:val="17"/>
              </w:rPr>
              <w:t>Variance</w:t>
            </w:r>
          </w:p>
        </w:tc>
      </w:tr>
      <w:tr>
        <w:tc>
          <w:tcPr>
            <w:tcW w:type="dxa" w:w="2412"/>
          </w:tcPr>
          <w:p>
            <w:r>
              <w:rPr>
                <w:sz w:val="17"/>
              </w:rPr>
              <w:t>Revenue</w:t>
            </w:r>
          </w:p>
        </w:tc>
        <w:tc>
          <w:tcPr>
            <w:tcW w:type="dxa" w:w="2412"/>
          </w:tcPr>
          <w:p>
            <w:r>
              <w:rPr>
                <w:sz w:val="17"/>
              </w:rPr>
              <w:t>$118,000,000</w:t>
            </w:r>
          </w:p>
        </w:tc>
        <w:tc>
          <w:tcPr>
            <w:tcW w:type="dxa" w:w="2412"/>
          </w:tcPr>
          <w:p>
            <w:r>
              <w:rPr>
                <w:sz w:val="17"/>
              </w:rPr>
              <w:t>$91,400,000</w:t>
            </w:r>
          </w:p>
        </w:tc>
        <w:tc>
          <w:tcPr>
            <w:tcW w:type="dxa" w:w="2412"/>
          </w:tcPr>
          <w:p>
            <w:r>
              <w:rPr>
                <w:sz w:val="17"/>
              </w:rPr>
              <w:t>-22.5%</w:t>
            </w:r>
          </w:p>
        </w:tc>
      </w:tr>
      <w:tr>
        <w:tc>
          <w:tcPr>
            <w:tcW w:type="dxa" w:w="2412"/>
          </w:tcPr>
          <w:p>
            <w:r>
              <w:rPr>
                <w:sz w:val="17"/>
              </w:rPr>
              <w:t>Patients on therapy</w:t>
            </w:r>
          </w:p>
        </w:tc>
        <w:tc>
          <w:tcPr>
            <w:tcW w:type="dxa" w:w="2412"/>
          </w:tcPr>
          <w:p>
            <w:r>
              <w:rPr>
                <w:sz w:val="17"/>
              </w:rPr>
              <w:t>14,200</w:t>
            </w:r>
          </w:p>
        </w:tc>
        <w:tc>
          <w:tcPr>
            <w:tcW w:type="dxa" w:w="2412"/>
          </w:tcPr>
          <w:p>
            <w:r>
              <w:rPr>
                <w:sz w:val="17"/>
              </w:rPr>
              <w:t>11,600</w:t>
            </w:r>
          </w:p>
        </w:tc>
        <w:tc>
          <w:tcPr>
            <w:tcW w:type="dxa" w:w="2412"/>
          </w:tcPr>
          <w:p>
            <w:r>
              <w:rPr>
                <w:sz w:val="17"/>
              </w:rPr>
              <w:t>-18.3%</w:t>
            </w:r>
          </w:p>
        </w:tc>
      </w:tr>
      <w:tr>
        <w:tc>
          <w:tcPr>
            <w:tcW w:type="dxa" w:w="2412"/>
          </w:tcPr>
          <w:p>
            <w:r>
              <w:rPr>
                <w:sz w:val="17"/>
              </w:rPr>
              <w:t>Net price per patient year</w:t>
            </w:r>
          </w:p>
        </w:tc>
        <w:tc>
          <w:tcPr>
            <w:tcW w:type="dxa" w:w="2412"/>
          </w:tcPr>
          <w:p>
            <w:r>
              <w:rPr>
                <w:sz w:val="17"/>
              </w:rPr>
              <w:t>$12,500</w:t>
            </w:r>
          </w:p>
        </w:tc>
        <w:tc>
          <w:tcPr>
            <w:tcW w:type="dxa" w:w="2412"/>
          </w:tcPr>
          <w:p>
            <w:r>
              <w:rPr>
                <w:sz w:val="17"/>
              </w:rPr>
              <w:t>$11,050</w:t>
            </w:r>
          </w:p>
        </w:tc>
        <w:tc>
          <w:tcPr>
            <w:tcW w:type="dxa" w:w="2412"/>
          </w:tcPr>
          <w:p>
            <w:r>
              <w:rPr>
                <w:sz w:val="17"/>
              </w:rPr>
              <w:t>-11.6%</w:t>
            </w:r>
          </w:p>
        </w:tc>
      </w:tr>
      <w:tr>
        <w:tc>
          <w:tcPr>
            <w:tcW w:type="dxa" w:w="2412"/>
          </w:tcPr>
          <w:p>
            <w:r>
              <w:rPr>
                <w:sz w:val="17"/>
              </w:rPr>
              <w:t>Covered lives</w:t>
            </w:r>
          </w:p>
        </w:tc>
        <w:tc>
          <w:tcPr>
            <w:tcW w:type="dxa" w:w="2412"/>
          </w:tcPr>
          <w:p>
            <w:r>
              <w:rPr>
                <w:sz w:val="17"/>
              </w:rPr>
              <w:t>62%</w:t>
            </w:r>
          </w:p>
        </w:tc>
        <w:tc>
          <w:tcPr>
            <w:tcW w:type="dxa" w:w="2412"/>
          </w:tcPr>
          <w:p>
            <w:r>
              <w:rPr>
                <w:sz w:val="17"/>
              </w:rPr>
              <w:t>44%</w:t>
            </w:r>
          </w:p>
        </w:tc>
        <w:tc>
          <w:tcPr>
            <w:tcW w:type="dxa" w:w="2412"/>
          </w:tcPr>
          <w:p>
            <w:r>
              <w:rPr>
                <w:sz w:val="17"/>
              </w:rPr>
              <w:t>-0 pts</w:t>
            </w:r>
          </w:p>
        </w:tc>
      </w:tr>
      <w:tr>
        <w:tc>
          <w:tcPr>
            <w:tcW w:type="dxa" w:w="2412"/>
          </w:tcPr>
          <w:p>
            <w:r>
              <w:rPr>
                <w:sz w:val="17"/>
              </w:rPr>
              <w:t>6-month persistence</w:t>
            </w:r>
          </w:p>
        </w:tc>
        <w:tc>
          <w:tcPr>
            <w:tcW w:type="dxa" w:w="2412"/>
          </w:tcPr>
          <w:p>
            <w:r>
              <w:rPr>
                <w:sz w:val="17"/>
              </w:rPr>
              <w:t>80%</w:t>
            </w:r>
          </w:p>
        </w:tc>
        <w:tc>
          <w:tcPr>
            <w:tcW w:type="dxa" w:w="2412"/>
          </w:tcPr>
          <w:p>
            <w:r>
              <w:rPr>
                <w:sz w:val="17"/>
              </w:rPr>
              <w:t>71%</w:t>
            </w:r>
          </w:p>
        </w:tc>
        <w:tc>
          <w:tcPr>
            <w:tcW w:type="dxa" w:w="2412"/>
          </w:tcPr>
          <w:p>
            <w:r>
              <w:rPr>
                <w:sz w:val="17"/>
              </w:rPr>
              <w:t>-9%</w:t>
            </w:r>
          </w:p>
        </w:tc>
      </w:tr>
    </w:tbl>
    <w:p/>
    <w:p>
      <w:pPr>
        <w:spacing w:before="200"/>
      </w:pPr>
      <w:r>
        <w:rPr>
          <w:b/>
          <w:color w:val="2B5F8E"/>
          <w:sz w:val="23"/>
        </w:rPr>
        <w:t>Decomposing the revenue miss</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Effect</w:t>
            </w:r>
          </w:p>
        </w:tc>
        <w:tc>
          <w:tcPr>
            <w:tcW w:type="dxa" w:w="4824"/>
          </w:tcPr>
          <w:p>
            <w:r>
              <w:rPr>
                <w:b/>
                <w:sz w:val="17"/>
              </w:rPr>
              <w:t>Contribution</w:t>
            </w:r>
          </w:p>
        </w:tc>
      </w:tr>
      <w:tr>
        <w:tc>
          <w:tcPr>
            <w:tcW w:type="dxa" w:w="4824"/>
          </w:tcPr>
          <w:p>
            <w:r>
              <w:rPr>
                <w:sz w:val="17"/>
              </w:rPr>
              <w:t>Net price below plan</w:t>
            </w:r>
          </w:p>
        </w:tc>
        <w:tc>
          <w:tcPr>
            <w:tcW w:type="dxa" w:w="4824"/>
          </w:tcPr>
          <w:p>
            <w:r>
              <w:rPr>
                <w:sz w:val="17"/>
              </w:rPr>
              <w:t>-11.6%</w:t>
            </w:r>
          </w:p>
        </w:tc>
      </w:tr>
      <w:tr>
        <w:tc>
          <w:tcPr>
            <w:tcW w:type="dxa" w:w="4824"/>
          </w:tcPr>
          <w:p>
            <w:r>
              <w:rPr>
                <w:sz w:val="17"/>
              </w:rPr>
              <w:t>Volume below plan</w:t>
            </w:r>
          </w:p>
        </w:tc>
        <w:tc>
          <w:tcPr>
            <w:tcW w:type="dxa" w:w="4824"/>
          </w:tcPr>
          <w:p>
            <w:r>
              <w:rPr>
                <w:sz w:val="17"/>
              </w:rPr>
              <w:t>-12.4%</w:t>
            </w:r>
          </w:p>
        </w:tc>
      </w:tr>
      <w:tr>
        <w:tc>
          <w:tcPr>
            <w:tcW w:type="dxa" w:w="4824"/>
          </w:tcPr>
          <w:p>
            <w:r>
              <w:rPr>
                <w:sz w:val="17"/>
              </w:rPr>
              <w:t>Combined</w:t>
            </w:r>
          </w:p>
        </w:tc>
        <w:tc>
          <w:tcPr>
            <w:tcW w:type="dxa" w:w="4824"/>
          </w:tcPr>
          <w:p>
            <w:r>
              <w:rPr>
                <w:sz w:val="17"/>
              </w:rPr>
              <w:t>-22.5%</w:t>
            </w:r>
          </w:p>
        </w:tc>
      </w:tr>
    </w:tbl>
    <w:p/>
    <w:p>
      <w:pPr>
        <w:spacing w:before="120"/>
        <w:ind w:left="360"/>
      </w:pPr>
      <w:r>
        <w:rPr>
          <w:i/>
          <w:color w:val="12304A"/>
          <w:sz w:val="20"/>
        </w:rPr>
        <w:t>The two effects are almost the same size, and that matters for what you do next. A miss driven mostly by price is a contracting problem. A miss driven mostly by volume is a demand or access problem. This one is both, roughly evenly — which means neither a better contract nor a bigger field force would have fixed it alone.</w:t>
      </w:r>
    </w:p>
    <w:p>
      <w:pPr>
        <w:spacing w:before="120"/>
        <w:ind w:left="360"/>
      </w:pPr>
      <w:r>
        <w:rPr>
          <w:i/>
          <w:color w:val="12304A"/>
          <w:sz w:val="20"/>
        </w:rPr>
        <w:t>Note also that the volume effect (-12.4%) is smaller than the raw patient shortfall (-18.3%). Patient count is measured at the end of the window; revenue accrues across it. An end-point count and a period average are different numbers, and reporting one as if it were the other overstates the gap.</w:t>
      </w:r>
    </w:p>
    <w:p>
      <w:pPr>
        <w:spacing w:before="320"/>
      </w:pPr>
      <w:r>
        <w:rPr>
          <w:b/>
          <w:color w:val="12304A"/>
          <w:sz w:val="28"/>
        </w:rPr>
        <w:t>4. Gross-to-Net — Where the Price Actually Goes</w:t>
      </w:r>
    </w:p>
    <w:p>
      <w:r>
        <w:t>List price and net price are different numbers, and the gap between them is the most misunderstood figure in pharmaceutical commercial planning.</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Component</w:t>
            </w:r>
          </w:p>
        </w:tc>
        <w:tc>
          <w:tcPr>
            <w:tcW w:type="dxa" w:w="2412"/>
          </w:tcPr>
          <w:p>
            <w:r>
              <w:rPr>
                <w:b/>
                <w:sz w:val="17"/>
              </w:rPr>
              <w:t>Actual</w:t>
            </w:r>
          </w:p>
        </w:tc>
        <w:tc>
          <w:tcPr>
            <w:tcW w:type="dxa" w:w="2412"/>
          </w:tcPr>
          <w:p>
            <w:r>
              <w:rPr>
                <w:b/>
                <w:sz w:val="17"/>
              </w:rPr>
              <w:t>Plan</w:t>
            </w:r>
          </w:p>
        </w:tc>
        <w:tc>
          <w:tcPr>
            <w:tcW w:type="dxa" w:w="2412"/>
          </w:tcPr>
          <w:p>
            <w:r>
              <w:rPr>
                <w:b/>
                <w:sz w:val="17"/>
              </w:rPr>
              <w:t>What it is</w:t>
            </w:r>
          </w:p>
        </w:tc>
      </w:tr>
      <w:tr>
        <w:tc>
          <w:tcPr>
            <w:tcW w:type="dxa" w:w="2412"/>
          </w:tcPr>
          <w:p>
            <w:r>
              <w:rPr>
                <w:sz w:val="17"/>
              </w:rPr>
              <w:t>List price (WAC)</w:t>
            </w:r>
          </w:p>
        </w:tc>
        <w:tc>
          <w:tcPr>
            <w:tcW w:type="dxa" w:w="2412"/>
          </w:tcPr>
          <w:p>
            <w:r>
              <w:rPr>
                <w:sz w:val="17"/>
              </w:rPr>
              <w:t>$16,800</w:t>
            </w:r>
          </w:p>
        </w:tc>
        <w:tc>
          <w:tcPr>
            <w:tcW w:type="dxa" w:w="2412"/>
          </w:tcPr>
          <w:p>
            <w:r>
              <w:rPr>
                <w:sz w:val="17"/>
              </w:rPr>
              <w:t>$16,800</w:t>
            </w:r>
          </w:p>
        </w:tc>
        <w:tc>
          <w:tcPr>
            <w:tcW w:type="dxa" w:w="2412"/>
          </w:tcPr>
          <w:p>
            <w:r>
              <w:rPr>
                <w:sz w:val="17"/>
              </w:rPr>
              <w:t>What the product is priced at. Almost nobody pays it.</w:t>
            </w:r>
          </w:p>
        </w:tc>
      </w:tr>
      <w:tr>
        <w:tc>
          <w:tcPr>
            <w:tcW w:type="dxa" w:w="2412"/>
          </w:tcPr>
          <w:p>
            <w:r>
              <w:rPr>
                <w:sz w:val="17"/>
              </w:rPr>
              <w:t>Commercial rebates</w:t>
            </w:r>
          </w:p>
        </w:tc>
        <w:tc>
          <w:tcPr>
            <w:tcW w:type="dxa" w:w="2412"/>
          </w:tcPr>
          <w:p>
            <w:r>
              <w:rPr>
                <w:sz w:val="17"/>
              </w:rPr>
              <w:t>−$3,360</w:t>
            </w:r>
          </w:p>
        </w:tc>
        <w:tc>
          <w:tcPr>
            <w:tcW w:type="dxa" w:w="2412"/>
          </w:tcPr>
          <w:p>
            <w:r>
              <w:rPr>
                <w:sz w:val="17"/>
              </w:rPr>
              <w:t>−$2,520</w:t>
            </w:r>
          </w:p>
        </w:tc>
        <w:tc>
          <w:tcPr>
            <w:tcW w:type="dxa" w:w="2412"/>
          </w:tcPr>
          <w:p>
            <w:r>
              <w:rPr>
                <w:sz w:val="17"/>
              </w:rPr>
              <w:t>Paid to pharmacy benefit managers for formulary position. The largest single deduction, and it buys access rather than volume.</w:t>
            </w:r>
          </w:p>
        </w:tc>
      </w:tr>
      <w:tr>
        <w:tc>
          <w:tcPr>
            <w:tcW w:type="dxa" w:w="2412"/>
          </w:tcPr>
          <w:p>
            <w:r>
              <w:rPr>
                <w:sz w:val="17"/>
              </w:rPr>
              <w:t>Medicaid and 340B statutory discounts</w:t>
            </w:r>
          </w:p>
        </w:tc>
        <w:tc>
          <w:tcPr>
            <w:tcW w:type="dxa" w:w="2412"/>
          </w:tcPr>
          <w:p>
            <w:r>
              <w:rPr>
                <w:sz w:val="17"/>
              </w:rPr>
              <w:t>−$1,180</w:t>
            </w:r>
          </w:p>
        </w:tc>
        <w:tc>
          <w:tcPr>
            <w:tcW w:type="dxa" w:w="2412"/>
          </w:tcPr>
          <w:p>
            <w:r>
              <w:rPr>
                <w:sz w:val="17"/>
              </w:rPr>
              <w:t>−$1,010</w:t>
            </w:r>
          </w:p>
        </w:tc>
        <w:tc>
          <w:tcPr>
            <w:tcW w:type="dxa" w:w="2412"/>
          </w:tcPr>
          <w:p>
            <w:r>
              <w:rPr>
                <w:sz w:val="17"/>
              </w:rPr>
              <w:t>Set by statute, not negotiated. Scales with the share of volume in those channels.</w:t>
            </w:r>
          </w:p>
        </w:tc>
      </w:tr>
      <w:tr>
        <w:tc>
          <w:tcPr>
            <w:tcW w:type="dxa" w:w="2412"/>
          </w:tcPr>
          <w:p>
            <w:r>
              <w:rPr>
                <w:sz w:val="17"/>
              </w:rPr>
              <w:t>Copay assistance</w:t>
            </w:r>
          </w:p>
        </w:tc>
        <w:tc>
          <w:tcPr>
            <w:tcW w:type="dxa" w:w="2412"/>
          </w:tcPr>
          <w:p>
            <w:r>
              <w:rPr>
                <w:sz w:val="17"/>
              </w:rPr>
              <w:t>−$840</w:t>
            </w:r>
          </w:p>
        </w:tc>
        <w:tc>
          <w:tcPr>
            <w:tcW w:type="dxa" w:w="2412"/>
          </w:tcPr>
          <w:p>
            <w:r>
              <w:rPr>
                <w:sz w:val="17"/>
              </w:rPr>
              <w:t>−$520</w:t>
            </w:r>
          </w:p>
        </w:tc>
        <w:tc>
          <w:tcPr>
            <w:tcW w:type="dxa" w:w="2412"/>
          </w:tcPr>
          <w:p>
            <w:r>
              <w:rPr>
                <w:sz w:val="17"/>
              </w:rPr>
              <w:t>Paid by the manufacturer to reduce patient out-of-pocket cost. Rises when coverage is poor — it is the mechanism that partly offsets a weak access position, at the manufacturer's expense.</w:t>
            </w:r>
          </w:p>
        </w:tc>
      </w:tr>
      <w:tr>
        <w:tc>
          <w:tcPr>
            <w:tcW w:type="dxa" w:w="2412"/>
          </w:tcPr>
          <w:p>
            <w:r>
              <w:rPr>
                <w:sz w:val="17"/>
              </w:rPr>
              <w:t>Distribution and channel fees</w:t>
            </w:r>
          </w:p>
        </w:tc>
        <w:tc>
          <w:tcPr>
            <w:tcW w:type="dxa" w:w="2412"/>
          </w:tcPr>
          <w:p>
            <w:r>
              <w:rPr>
                <w:sz w:val="17"/>
              </w:rPr>
              <w:t>−$370</w:t>
            </w:r>
          </w:p>
        </w:tc>
        <w:tc>
          <w:tcPr>
            <w:tcW w:type="dxa" w:w="2412"/>
          </w:tcPr>
          <w:p>
            <w:r>
              <w:rPr>
                <w:sz w:val="17"/>
              </w:rPr>
              <w:t>−$250</w:t>
            </w:r>
          </w:p>
        </w:tc>
        <w:tc>
          <w:tcPr>
            <w:tcW w:type="dxa" w:w="2412"/>
          </w:tcPr>
          <w:p>
            <w:r>
              <w:rPr>
                <w:sz w:val="17"/>
              </w:rPr>
              <w:t>Wholesaler and specialty pharmacy fees.</w:t>
            </w:r>
          </w:p>
        </w:tc>
      </w:tr>
      <w:tr>
        <w:tc>
          <w:tcPr>
            <w:tcW w:type="dxa" w:w="2412"/>
          </w:tcPr>
          <w:p>
            <w:r>
              <w:rPr>
                <w:sz w:val="17"/>
              </w:rPr>
              <w:t>Net realized price</w:t>
            </w:r>
          </w:p>
        </w:tc>
        <w:tc>
          <w:tcPr>
            <w:tcW w:type="dxa" w:w="2412"/>
          </w:tcPr>
          <w:p>
            <w:r>
              <w:rPr>
                <w:sz w:val="17"/>
              </w:rPr>
              <w:t>$11,050</w:t>
            </w:r>
          </w:p>
        </w:tc>
        <w:tc>
          <w:tcPr>
            <w:tcW w:type="dxa" w:w="2412"/>
          </w:tcPr>
          <w:p>
            <w:r>
              <w:rPr>
                <w:sz w:val="17"/>
              </w:rPr>
              <w:t>$12,500</w:t>
            </w:r>
          </w:p>
        </w:tc>
        <w:tc>
          <w:tcPr>
            <w:tcW w:type="dxa" w:w="2412"/>
          </w:tcPr>
          <w:p>
            <w:r>
              <w:rPr>
                <w:sz w:val="17"/>
              </w:rPr>
              <w:t>Gross-to-net erosion 34% against 26% planned</w:t>
            </w:r>
          </w:p>
        </w:tc>
      </w:tr>
    </w:tbl>
    <w:p/>
    <w:p>
      <w:pPr>
        <w:spacing w:before="120"/>
        <w:ind w:left="360"/>
      </w:pPr>
      <w:r>
        <w:rPr>
          <w:i/>
          <w:color w:val="12304A"/>
          <w:sz w:val="20"/>
        </w:rPr>
        <w:t>The list price never changed. The net price fell 11.6%.</w:t>
      </w:r>
    </w:p>
    <w:p>
      <w:pPr>
        <w:spacing w:before="120"/>
        <w:ind w:left="360"/>
      </w:pPr>
      <w:r>
        <w:rPr>
          <w:i/>
          <w:color w:val="12304A"/>
          <w:sz w:val="20"/>
        </w:rPr>
        <w:t>Every dollar of that gap was given away in rebates, statutory discounts and copay assistance — and the largest component, commercial rebates, buys formulary position rather than volume. The program paid more in rebates than planned and still ended up with worse access than planned, which is the specific failure mode of negotiating from a weak evidence position.</w:t>
      </w:r>
    </w:p>
    <w:p>
      <w:pPr>
        <w:spacing w:before="120"/>
        <w:ind w:left="360"/>
      </w:pPr>
      <w:r>
        <w:rPr>
          <w:i/>
          <w:color w:val="12304A"/>
          <w:sz w:val="20"/>
        </w:rPr>
        <w:t>Read the copay assistance line carefully — it is the counter-intuitive one. Manufacturer copay assistance rose +62% above plan. That is not overspending. It is the mechanism partially compensating for the poor access position: when a product sits on a non-preferred tier, the patient's out-of-pocket cost rises, and the manufacturer absorbs the difference to keep them on therapy.</w:t>
      </w:r>
    </w:p>
    <w:p>
      <w:pPr>
        <w:spacing w:before="120"/>
        <w:ind w:left="360"/>
      </w:pPr>
      <w:r>
        <w:rPr>
          <w:i/>
          <w:color w:val="12304A"/>
          <w:sz w:val="20"/>
        </w:rPr>
        <w:t>A weak access position does not only reduce volume — it makes each remaining unit more expensive to sell. The two effects compound, which is why the price and volume contributions at §3 are almost identical in size. They share a cause.</w:t>
      </w:r>
    </w:p>
    <w:p>
      <w:r>
        <w:t>This is also the number the CFO's Gate 4 abstention was about. “Un-refreshed gross-to-net assumptions” sounds like an accounting quibble. It is the difference between 26% and 34% erosion on every unit sold, for the commercial life of the product.</w:t>
      </w:r>
    </w:p>
    <w:p>
      <w:pPr>
        <w:spacing w:before="320"/>
      </w:pPr>
      <w:r>
        <w:rPr>
          <w:b/>
          <w:color w:val="12304A"/>
          <w:sz w:val="28"/>
        </w:rPr>
        <w:t>4. Where the Access Number Actually Comes From</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Access measure</w:t>
            </w:r>
          </w:p>
        </w:tc>
        <w:tc>
          <w:tcPr>
            <w:tcW w:type="dxa" w:w="2412"/>
          </w:tcPr>
          <w:p>
            <w:r>
              <w:rPr>
                <w:b/>
                <w:sz w:val="17"/>
              </w:rPr>
              <w:t>Actual</w:t>
            </w:r>
          </w:p>
        </w:tc>
        <w:tc>
          <w:tcPr>
            <w:tcW w:type="dxa" w:w="2412"/>
          </w:tcPr>
          <w:p>
            <w:r>
              <w:rPr>
                <w:b/>
                <w:sz w:val="17"/>
              </w:rPr>
              <w:t>Assumed</w:t>
            </w:r>
          </w:p>
        </w:tc>
        <w:tc>
          <w:tcPr>
            <w:tcW w:type="dxa" w:w="2412"/>
          </w:tcPr>
          <w:p>
            <w:r>
              <w:rPr>
                <w:b/>
                <w:sz w:val="17"/>
              </w:rPr>
              <w:t>What it means</w:t>
            </w:r>
          </w:p>
        </w:tc>
      </w:tr>
      <w:tr>
        <w:tc>
          <w:tcPr>
            <w:tcW w:type="dxa" w:w="2412"/>
          </w:tcPr>
          <w:p>
            <w:r>
              <w:rPr>
                <w:sz w:val="17"/>
              </w:rPr>
              <w:t>Covered lives with any coverage</w:t>
            </w:r>
          </w:p>
        </w:tc>
        <w:tc>
          <w:tcPr>
            <w:tcW w:type="dxa" w:w="2412"/>
          </w:tcPr>
          <w:p>
            <w:r>
              <w:rPr>
                <w:sz w:val="17"/>
              </w:rPr>
              <w:t>44%</w:t>
            </w:r>
          </w:p>
        </w:tc>
        <w:tc>
          <w:tcPr>
            <w:tcW w:type="dxa" w:w="2412"/>
          </w:tcPr>
          <w:p>
            <w:r>
              <w:rPr>
                <w:sz w:val="17"/>
              </w:rPr>
              <w:t>62% assumed</w:t>
            </w:r>
          </w:p>
        </w:tc>
        <w:tc>
          <w:tcPr>
            <w:tcW w:type="dxa" w:w="2412"/>
          </w:tcPr>
          <w:p>
            <w:r>
              <w:rPr>
                <w:sz w:val="17"/>
              </w:rPr>
              <w:t>The headline number, and the least useful one on its own.</w:t>
            </w:r>
          </w:p>
        </w:tc>
      </w:tr>
      <w:tr>
        <w:tc>
          <w:tcPr>
            <w:tcW w:type="dxa" w:w="2412"/>
          </w:tcPr>
          <w:p>
            <w:r>
              <w:rPr>
                <w:sz w:val="17"/>
              </w:rPr>
              <w:t>Of that, preferred tier</w:t>
            </w:r>
          </w:p>
        </w:tc>
        <w:tc>
          <w:tcPr>
            <w:tcW w:type="dxa" w:w="2412"/>
          </w:tcPr>
          <w:p>
            <w:r>
              <w:rPr>
                <w:sz w:val="17"/>
              </w:rPr>
              <w:t>11%</w:t>
            </w:r>
          </w:p>
        </w:tc>
        <w:tc>
          <w:tcPr>
            <w:tcW w:type="dxa" w:w="2412"/>
          </w:tcPr>
          <w:p>
            <w:r>
              <w:rPr>
                <w:sz w:val="17"/>
              </w:rPr>
              <w:t>38% assumed</w:t>
            </w:r>
          </w:p>
        </w:tc>
        <w:tc>
          <w:tcPr>
            <w:tcW w:type="dxa" w:w="2412"/>
          </w:tcPr>
          <w:p>
            <w:r>
              <w:rPr>
                <w:sz w:val="17"/>
              </w:rPr>
              <w:t>The number that matters. Preferred placement drives prescribing; non-preferred coverage often does not.</w:t>
            </w:r>
          </w:p>
        </w:tc>
      </w:tr>
      <w:tr>
        <w:tc>
          <w:tcPr>
            <w:tcW w:type="dxa" w:w="2412"/>
          </w:tcPr>
          <w:p>
            <w:r>
              <w:rPr>
                <w:sz w:val="17"/>
              </w:rPr>
              <w:t>Prior authorization required</w:t>
            </w:r>
          </w:p>
        </w:tc>
        <w:tc>
          <w:tcPr>
            <w:tcW w:type="dxa" w:w="2412"/>
          </w:tcPr>
          <w:p>
            <w:r>
              <w:rPr>
                <w:sz w:val="17"/>
              </w:rPr>
              <w:t>82% of covered lives</w:t>
            </w:r>
          </w:p>
        </w:tc>
        <w:tc>
          <w:tcPr>
            <w:tcW w:type="dxa" w:w="2412"/>
          </w:tcPr>
          <w:p>
            <w:r>
              <w:rPr>
                <w:sz w:val="17"/>
              </w:rPr>
              <w:t>45% assumed</w:t>
            </w:r>
          </w:p>
        </w:tc>
        <w:tc>
          <w:tcPr>
            <w:tcW w:type="dxa" w:w="2412"/>
          </w:tcPr>
          <w:p>
            <w:r>
              <w:rPr>
                <w:sz w:val="17"/>
              </w:rPr>
              <w:t>A prior-authorization requirement is a coverage decision that behaves like a denial for every prescriber unwilling to spend the time.</w:t>
            </w:r>
          </w:p>
        </w:tc>
      </w:tr>
      <w:tr>
        <w:tc>
          <w:tcPr>
            <w:tcW w:type="dxa" w:w="2412"/>
          </w:tcPr>
          <w:p>
            <w:r>
              <w:rPr>
                <w:sz w:val="17"/>
              </w:rPr>
              <w:t>Step therapy through an approved GLP-1</w:t>
            </w:r>
          </w:p>
        </w:tc>
        <w:tc>
          <w:tcPr>
            <w:tcW w:type="dxa" w:w="2412"/>
          </w:tcPr>
          <w:p>
            <w:r>
              <w:rPr>
                <w:sz w:val="17"/>
              </w:rPr>
              <w:t>61% of covered lives</w:t>
            </w:r>
          </w:p>
        </w:tc>
        <w:tc>
          <w:tcPr>
            <w:tcW w:type="dxa" w:w="2412"/>
          </w:tcPr>
          <w:p>
            <w:r>
              <w:rPr>
                <w:sz w:val="17"/>
              </w:rPr>
              <w:t>20% assumed</w:t>
            </w:r>
          </w:p>
        </w:tc>
        <w:tc>
          <w:tcPr>
            <w:tcW w:type="dxa" w:w="2412"/>
          </w:tcPr>
          <w:p>
            <w:r>
              <w:rPr>
                <w:sz w:val="17"/>
              </w:rPr>
              <w:t>Requires failure on a competitor before VitaFlow is reimbursed. For a product with no differentiating claim, this is close to decisive.</w:t>
            </w:r>
          </w:p>
        </w:tc>
      </w:tr>
    </w:tbl>
    <w:p/>
    <w:p>
      <w:pPr>
        <w:spacing w:before="120"/>
        <w:ind w:left="360"/>
      </w:pPr>
      <w:r>
        <w:rPr>
          <w:i/>
          <w:color w:val="12304A"/>
          <w:sz w:val="20"/>
        </w:rPr>
        <w:t>“44% of covered lives” is the headline and the least useful number on the page.</w:t>
      </w:r>
    </w:p>
    <w:p>
      <w:pPr>
        <w:spacing w:before="120"/>
        <w:ind w:left="360"/>
      </w:pPr>
      <w:r>
        <w:rPr>
          <w:i/>
          <w:color w:val="12304A"/>
          <w:sz w:val="20"/>
        </w:rPr>
        <w:t>Coverage is not binary. A plan that lists a product on a non-preferred tier, behind a prior authorization, behind step therapy through a competitor, has technically covered it — and has made prescribing it hard enough that most physicians will not.</w:t>
      </w:r>
    </w:p>
    <w:p>
      <w:pPr>
        <w:spacing w:before="120"/>
        <w:ind w:left="360"/>
      </w:pPr>
      <w:r>
        <w:rPr>
          <w:i/>
          <w:color w:val="12304A"/>
          <w:sz w:val="20"/>
        </w:rPr>
        <w:t>The number that predicts prescribing is preferred-tier placement at 11% against 38% assumed. That is the real access position, and it is roughly a third of what the plan assumed.</w:t>
      </w:r>
    </w:p>
    <w:p>
      <w:r>
        <w:t>The step-therapy requirement is close to decisive for this particular product. It requires a patient to fail on an approved competitor before VitaFlow is reimbursed — and VitaFlow has no differentiating claim in its label to argue for use ahead of that competitor. The labeling outcome recorded at FDA Review Log §5 and the access outcome here are the same problem arriving in two different places.</w:t>
      </w:r>
    </w:p>
    <w:p>
      <w:pPr>
        <w:spacing w:before="120"/>
        <w:ind w:left="360"/>
      </w:pPr>
      <w:r>
        <w:rPr>
          <w:i/>
          <w:color w:val="12304A"/>
          <w:sz w:val="20"/>
        </w:rPr>
        <w:t>Persistence is the quieter problem and may be the more durable one. Six-month persistence came in at 71% against 80% assumed. Roughly three in ten patients who start therapy are not on it half a year later.</w:t>
      </w:r>
    </w:p>
    <w:p>
      <w:pPr>
        <w:spacing w:before="120"/>
        <w:ind w:left="360"/>
      </w:pPr>
      <w:r>
        <w:rPr>
          <w:i/>
          <w:color w:val="12304A"/>
          <w:sz w:val="20"/>
        </w:rPr>
        <w:t>That is a well-documented characteristic of this class rather than a failure specific to this product — and the plan assumed better than the class. Every revenue model in a chronic therapy is a persistence model wearing a revenue model's clothes.</w:t>
      </w:r>
    </w:p>
    <w:p>
      <w:pPr>
        <w:spacing w:before="320"/>
      </w:pPr>
      <w:r>
        <w:rPr>
          <w:b/>
          <w:color w:val="12304A"/>
          <w:sz w:val="28"/>
        </w:rPr>
        <w:t>5. What Was Foreseeable and When</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Outcome</w:t>
            </w:r>
          </w:p>
        </w:tc>
        <w:tc>
          <w:tcPr>
            <w:tcW w:type="dxa" w:w="3216"/>
          </w:tcPr>
          <w:p>
            <w:r>
              <w:rPr>
                <w:b/>
                <w:sz w:val="17"/>
              </w:rPr>
              <w:t>First recorded</w:t>
            </w:r>
          </w:p>
        </w:tc>
        <w:tc>
          <w:tcPr>
            <w:tcW w:type="dxa" w:w="3216"/>
          </w:tcPr>
          <w:p>
            <w:r>
              <w:rPr>
                <w:b/>
                <w:sz w:val="17"/>
              </w:rPr>
              <w:t>By whom</w:t>
            </w:r>
          </w:p>
        </w:tc>
      </w:tr>
      <w:tr>
        <w:tc>
          <w:tcPr>
            <w:tcW w:type="dxa" w:w="3216"/>
          </w:tcPr>
          <w:p>
            <w:r>
              <w:rPr>
                <w:sz w:val="17"/>
              </w:rPr>
              <w:t>Payer coverage below assumption</w:t>
            </w:r>
          </w:p>
        </w:tc>
        <w:tc>
          <w:tcPr>
            <w:tcW w:type="dxa" w:w="3216"/>
          </w:tcPr>
          <w:p>
            <w:r>
              <w:rPr>
                <w:sz w:val="17"/>
              </w:rPr>
              <w:t>June 2026 — gate condition GC-03</w:t>
            </w:r>
          </w:p>
        </w:tc>
        <w:tc>
          <w:tcPr>
            <w:tcW w:type="dxa" w:w="3216"/>
          </w:tcPr>
          <w:p>
            <w:r>
              <w:rPr>
                <w:sz w:val="17"/>
              </w:rPr>
              <w:t>Development Committee</w:t>
            </w:r>
          </w:p>
        </w:tc>
      </w:tr>
      <w:tr>
        <w:tc>
          <w:tcPr>
            <w:tcW w:type="dxa" w:w="3216"/>
          </w:tcPr>
          <w:p>
            <w:r>
              <w:rPr>
                <w:sz w:val="17"/>
              </w:rPr>
              <w:t>Net price below assumption</w:t>
            </w:r>
          </w:p>
        </w:tc>
        <w:tc>
          <w:tcPr>
            <w:tcW w:type="dxa" w:w="3216"/>
          </w:tcPr>
          <w:p>
            <w:r>
              <w:rPr>
                <w:sz w:val="17"/>
              </w:rPr>
              <w:t>June 2026 — abstention on un-refreshed gross-to-net</w:t>
            </w:r>
          </w:p>
        </w:tc>
        <w:tc>
          <w:tcPr>
            <w:tcW w:type="dxa" w:w="3216"/>
          </w:tcPr>
          <w:p>
            <w:r>
              <w:rPr>
                <w:sz w:val="17"/>
              </w:rPr>
              <w:t>CFO</w:t>
            </w:r>
          </w:p>
        </w:tc>
      </w:tr>
      <w:tr>
        <w:tc>
          <w:tcPr>
            <w:tcW w:type="dxa" w:w="3216"/>
          </w:tcPr>
          <w:p>
            <w:r>
              <w:rPr>
                <w:sz w:val="17"/>
              </w:rPr>
              <w:t>No comparative tolerability claim</w:t>
            </w:r>
          </w:p>
        </w:tc>
        <w:tc>
          <w:tcPr>
            <w:tcW w:type="dxa" w:w="3216"/>
          </w:tcPr>
          <w:p>
            <w:r>
              <w:rPr>
                <w:sz w:val="17"/>
              </w:rPr>
              <w:t>Protocol finalization, 2026 — endpoint hierarchy fixed GI discontinuation fourth</w:t>
            </w:r>
          </w:p>
        </w:tc>
        <w:tc>
          <w:tcPr>
            <w:tcW w:type="dxa" w:w="3216"/>
          </w:tcPr>
          <w:p>
            <w:r>
              <w:rPr>
                <w:sz w:val="17"/>
              </w:rPr>
              <w:t>Regulatory / Biostatistics</w:t>
            </w:r>
          </w:p>
        </w:tc>
      </w:tr>
      <w:tr>
        <w:tc>
          <w:tcPr>
            <w:tcW w:type="dxa" w:w="3216"/>
          </w:tcPr>
          <w:p>
            <w:r>
              <w:rPr>
                <w:sz w:val="17"/>
              </w:rPr>
              <w:t>Persistence below class assumption</w:t>
            </w:r>
          </w:p>
        </w:tc>
        <w:tc>
          <w:tcPr>
            <w:tcW w:type="dxa" w:w="3216"/>
          </w:tcPr>
          <w:p>
            <w:r>
              <w:rPr>
                <w:sz w:val="17"/>
              </w:rPr>
              <w:t>Not recorded anywhere before launch</w:t>
            </w:r>
          </w:p>
        </w:tc>
        <w:tc>
          <w:tcPr>
            <w:tcW w:type="dxa" w:w="3216"/>
          </w:tcPr>
          <w:p>
            <w:r>
              <w:rPr>
                <w:sz w:val="17"/>
              </w:rPr>
              <w:t>—</w:t>
            </w:r>
          </w:p>
        </w:tc>
      </w:tr>
    </w:tbl>
    <w:p/>
    <w:p>
      <w:pPr>
        <w:spacing w:before="120"/>
        <w:ind w:left="360"/>
      </w:pPr>
      <w:r>
        <w:rPr>
          <w:i/>
          <w:color w:val="12304A"/>
          <w:sz w:val="20"/>
        </w:rPr>
        <w:t>Three of the four were on the record years in advance. One was not.</w:t>
      </w:r>
    </w:p>
    <w:p>
      <w:pPr>
        <w:spacing w:before="120"/>
        <w:ind w:left="360"/>
      </w:pPr>
      <w:r>
        <w:rPr>
          <w:i/>
          <w:color w:val="12304A"/>
          <w:sz w:val="20"/>
        </w:rPr>
        <w:t>That is the honest scorecard for the governance system this suite documents. It caught the access risk, it caught the pricing risk, and it caught the labeling constraint — all early enough that the organization could have acted differently, and it largely did not.</w:t>
      </w:r>
    </w:p>
    <w:p>
      <w:pPr>
        <w:spacing w:before="120"/>
        <w:ind w:left="360"/>
      </w:pPr>
      <w:r>
        <w:rPr>
          <w:i/>
          <w:color w:val="12304A"/>
          <w:sz w:val="20"/>
        </w:rPr>
        <w:t>It missed persistence entirely. No risk register, no gate condition, no assumption log entry records that the commercial model assumed better retention than the class had ever delivered. It sat inside the revenue forecast as a parameter nobody challenged, which is precisely where unexamined assumptions live.</w:t>
      </w:r>
    </w:p>
    <w:p>
      <w:r>
        <w:t>The Post-Launch Review records this as the fifth lesson at closure. The uncomfortable version: a governance system is very good at scrutinizing the things it has a register for. Persistence had no register, so nothing scrutinized it.</w:t>
      </w:r>
    </w:p>
    <w:p>
      <w:pPr>
        <w:spacing w:before="320"/>
      </w:pPr>
      <w:r>
        <w:rPr>
          <w:b/>
          <w:color w:val="12304A"/>
          <w:sz w:val="28"/>
        </w:rPr>
        <w:t>6. What the Next Launch Should Take From This</w:t>
      </w:r>
    </w:p>
    <w:p>
      <w:pPr>
        <w:pStyle w:val="ListBullet"/>
      </w:pPr>
      <w:r>
        <w:t>Score execution and outcome separately. Blending them protects nobody and teaches nothing.</w:t>
      </w:r>
    </w:p>
    <w:p>
      <w:pPr>
        <w:pStyle w:val="ListBullet"/>
      </w:pPr>
      <w:r>
        <w:t>Speed at launch is bought months earlier, at risk. Pre-approval inventory and multi-scenario field training are what made a 27-day approval-to-shipment sequence possible.</w:t>
      </w:r>
    </w:p>
    <w:p>
      <w:pPr>
        <w:pStyle w:val="ListBullet"/>
      </w:pPr>
      <w:r>
        <w:t>Train against the label you might get, not the one you want. Twelve working days of retraining, not twelve weeks.</w:t>
      </w:r>
    </w:p>
    <w:p>
      <w:pPr>
        <w:pStyle w:val="ListBullet"/>
      </w:pPr>
      <w:r>
        <w:t>Covered lives is a vanity metric. Ask for preferred-tier placement, prior-authorization rate and step-therapy rate, or the access number means nothing.</w:t>
      </w:r>
    </w:p>
    <w:p>
      <w:pPr>
        <w:pStyle w:val="ListBullet"/>
      </w:pPr>
      <w:r>
        <w:t>A product with no differentiating claim cannot argue its way past step therapy. The labeling decision and the access outcome are one problem.</w:t>
      </w:r>
    </w:p>
    <w:p>
      <w:pPr>
        <w:pStyle w:val="ListBullet"/>
      </w:pPr>
      <w:r>
        <w:t>Put persistence in a register. A chronic-therapy revenue model is a persistence model, and this one carried an assumption better than the class without anyone owning it.</w:t>
      </w:r>
    </w:p>
    <w:p>
      <w:pPr>
        <w:spacing w:before="120"/>
        <w:ind w:left="360"/>
      </w:pPr>
      <w:r>
        <w:rPr>
          <w:i/>
          <w:color w:val="12304A"/>
          <w:sz w:val="20"/>
        </w:rPr>
        <w:t>And the one that generalizes furthest. Every commercial assumption in a development program is made years before it is tested, by people who will not be there when it is. The governance question is not whether such assumptions are right — they usually are not. It is whether each one has a named owner and a date by which it must be re-tested.</w:t>
      </w:r>
    </w:p>
    <w:p>
      <w:pPr>
        <w:spacing w:before="120"/>
        <w:ind w:left="360"/>
      </w:pPr>
      <w:r>
        <w:rPr>
          <w:i/>
          <w:color w:val="12304A"/>
          <w:sz w:val="20"/>
        </w:rPr>
        <w:t>GC-03 was exactly that mechanism, applied to one assumption. It was applied late, and it worked anyway — not by preventing the outcome, but by making it impossible for anyone to be surprised by it.</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