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CLINICAL DEVELOPMENT · VITALIS THERAPEUTICS INC.</w:t>
      </w:r>
    </w:p>
    <w:p>
      <w:r>
        <w:rPr>
          <w:b/>
          <w:color w:val="12304A"/>
          <w:sz w:val="44"/>
        </w:rPr>
        <w:t>Phase 3 Protocol Summary</w:t>
      </w:r>
    </w:p>
    <w:p>
      <w:r>
        <w:rPr>
          <w:i/>
          <w:color w:val="6B7280"/>
          <w:sz w:val="17"/>
        </w:rPr>
        <w:t>Vitalis Therapeutics Inc. · VitaFlow (VTX-401) · Phase 3 Protocol Summary · status 15 October 2026. Fictional program. No clinical data underlies any claim made here.</w:t>
      </w:r>
    </w:p>
    <w:p/>
    <w:p>
      <w:r>
        <w:t>Vitalis Therapeutics Inc. — A program-management summary of the VitaFlow (VTX-401) pivotal protocols: two registration trials totalling 2,480 participants over 68 weeks, plus a nested cardiovascular sub-study. Enrolment position as at 15 October 2026.</w:t>
      </w:r>
    </w:p>
    <w:p>
      <w:pPr>
        <w:spacing w:before="320"/>
      </w:pPr>
      <w:r>
        <w:rPr>
          <w:b/>
          <w:color w:val="12304A"/>
          <w:sz w:val="28"/>
        </w:rPr>
        <w:t>1. What This Document Is</w:t>
      </w:r>
    </w:p>
    <w:p>
      <w:r>
        <w:t>A program-management summary of the VitaFlow (VTX-401) pivotal protocols. It is not the protocol. The protocol is authored by clinical development and biostatistics and runs to several hundred pages; this document extracts what a sponsor program manager has to understand in order to manage the study.</w:t>
      </w:r>
    </w:p>
    <w:p>
      <w:pPr>
        <w:spacing w:before="120"/>
        <w:ind w:left="360"/>
      </w:pPr>
      <w:r>
        <w:rPr>
          <w:i/>
          <w:color w:val="12304A"/>
          <w:sz w:val="20"/>
        </w:rPr>
        <w:t>The distinction is worth stating. A sponsor PM does not design a trial and should not pretend to. What the role does require is knowing which design choices are schedule-critical, which are cost-critical, and which cannot be changed without going back to the agency. Those three categories are what this summary is organised around, and getting them wrong is how a program discovers in month fourteen that a protocol amendment it treated as administrative has reopened a question settled at the End-of-Phase-2 meeting.</w:t>
      </w:r>
    </w:p>
    <w:p>
      <w:pPr>
        <w:spacing w:before="320"/>
      </w:pPr>
      <w:r>
        <w:rPr>
          <w:b/>
          <w:color w:val="12304A"/>
          <w:sz w:val="28"/>
        </w:rPr>
        <w:t>2. The Pivotal Program</w:t>
      </w:r>
    </w:p>
    <w:tbl>
      <w:tblPr>
        <w:tblStyle w:val="LightGrid-Accent1"/>
        <w:tblW w:type="auto" w:w="0"/>
        <w:jc w:val="center"/>
        <w:tblLook w:firstColumn="1" w:firstRow="1" w:lastColumn="0" w:lastRow="0" w:noHBand="0" w:noVBand="1" w:val="04A0"/>
      </w:tblPr>
      <w:tblGrid>
        <w:gridCol w:w="1608"/>
        <w:gridCol w:w="1608"/>
        <w:gridCol w:w="1608"/>
        <w:gridCol w:w="1608"/>
        <w:gridCol w:w="1608"/>
        <w:gridCol w:w="1608"/>
      </w:tblGrid>
      <w:tr>
        <w:tc>
          <w:tcPr>
            <w:tcW w:type="dxa" w:w="1608"/>
          </w:tcPr>
          <w:p>
            <w:r>
              <w:rPr>
                <w:b/>
                <w:sz w:val="17"/>
              </w:rPr>
              <w:t>Study</w:t>
            </w:r>
          </w:p>
        </w:tc>
        <w:tc>
          <w:tcPr>
            <w:tcW w:type="dxa" w:w="1608"/>
          </w:tcPr>
          <w:p>
            <w:r>
              <w:rPr>
                <w:b/>
                <w:sz w:val="17"/>
              </w:rPr>
              <w:t>Design</w:t>
            </w:r>
          </w:p>
        </w:tc>
        <w:tc>
          <w:tcPr>
            <w:tcW w:type="dxa" w:w="1608"/>
          </w:tcPr>
          <w:p>
            <w:r>
              <w:rPr>
                <w:b/>
                <w:sz w:val="17"/>
              </w:rPr>
              <w:t>Randomization</w:t>
            </w:r>
          </w:p>
        </w:tc>
        <w:tc>
          <w:tcPr>
            <w:tcW w:type="dxa" w:w="1608"/>
          </w:tcPr>
          <w:p>
            <w:r>
              <w:rPr>
                <w:b/>
                <w:sz w:val="17"/>
              </w:rPr>
              <w:t>N</w:t>
            </w:r>
          </w:p>
        </w:tc>
        <w:tc>
          <w:tcPr>
            <w:tcW w:type="dxa" w:w="1608"/>
          </w:tcPr>
          <w:p>
            <w:r>
              <w:rPr>
                <w:b/>
                <w:sz w:val="17"/>
              </w:rPr>
              <w:t>Sites</w:t>
            </w:r>
          </w:p>
        </w:tc>
        <w:tc>
          <w:tcPr>
            <w:tcW w:type="dxa" w:w="1608"/>
          </w:tcPr>
          <w:p>
            <w:r>
              <w:rPr>
                <w:b/>
                <w:sz w:val="17"/>
              </w:rPr>
              <w:t>Duration</w:t>
            </w:r>
          </w:p>
        </w:tc>
      </w:tr>
      <w:tr>
        <w:tc>
          <w:tcPr>
            <w:tcW w:type="dxa" w:w="1608"/>
          </w:tcPr>
          <w:p>
            <w:r>
              <w:rPr>
                <w:sz w:val="17"/>
              </w:rPr>
              <w:t>VTX-401-301</w:t>
            </w:r>
          </w:p>
        </w:tc>
        <w:tc>
          <w:tcPr>
            <w:tcW w:type="dxa" w:w="1608"/>
          </w:tcPr>
          <w:p>
            <w:r>
              <w:rPr>
                <w:sz w:val="17"/>
              </w:rPr>
              <w:t>Randomized, double-blind, placebo-controlled, parallel-group</w:t>
            </w:r>
          </w:p>
        </w:tc>
        <w:tc>
          <w:tcPr>
            <w:tcW w:type="dxa" w:w="1608"/>
          </w:tcPr>
          <w:p>
            <w:r>
              <w:rPr>
                <w:sz w:val="17"/>
              </w:rPr>
              <w:t>VTX-401 / placebo, 2:1</w:t>
            </w:r>
          </w:p>
        </w:tc>
        <w:tc>
          <w:tcPr>
            <w:tcW w:type="dxa" w:w="1608"/>
          </w:tcPr>
          <w:p>
            <w:r>
              <w:rPr>
                <w:sz w:val="17"/>
              </w:rPr>
              <w:t>1,360</w:t>
            </w:r>
          </w:p>
        </w:tc>
        <w:tc>
          <w:tcPr>
            <w:tcW w:type="dxa" w:w="1608"/>
          </w:tcPr>
          <w:p>
            <w:r>
              <w:rPr>
                <w:sz w:val="17"/>
              </w:rPr>
              <w:t>142</w:t>
            </w:r>
          </w:p>
        </w:tc>
        <w:tc>
          <w:tcPr>
            <w:tcW w:type="dxa" w:w="1608"/>
          </w:tcPr>
          <w:p>
            <w:r>
              <w:rPr>
                <w:sz w:val="17"/>
              </w:rPr>
              <w:t>68 wk</w:t>
            </w:r>
          </w:p>
        </w:tc>
      </w:tr>
      <w:tr>
        <w:tc>
          <w:tcPr>
            <w:tcW w:type="dxa" w:w="1608"/>
          </w:tcPr>
          <w:p>
            <w:r>
              <w:rPr>
                <w:sz w:val="17"/>
              </w:rPr>
              <w:t>VTX-401-302</w:t>
            </w:r>
          </w:p>
        </w:tc>
        <w:tc>
          <w:tcPr>
            <w:tcW w:type="dxa" w:w="1608"/>
          </w:tcPr>
          <w:p>
            <w:r>
              <w:rPr>
                <w:sz w:val="17"/>
              </w:rPr>
              <w:t>Randomized, double-blind, active- and placebo-controlled, parallel-group</w:t>
            </w:r>
          </w:p>
        </w:tc>
        <w:tc>
          <w:tcPr>
            <w:tcW w:type="dxa" w:w="1608"/>
          </w:tcPr>
          <w:p>
            <w:r>
              <w:rPr>
                <w:sz w:val="17"/>
              </w:rPr>
              <w:t>VTX-401 / active comparator / placebo, 2:2:1</w:t>
            </w:r>
          </w:p>
        </w:tc>
        <w:tc>
          <w:tcPr>
            <w:tcW w:type="dxa" w:w="1608"/>
          </w:tcPr>
          <w:p>
            <w:r>
              <w:rPr>
                <w:sz w:val="17"/>
              </w:rPr>
              <w:t>1,120</w:t>
            </w:r>
          </w:p>
        </w:tc>
        <w:tc>
          <w:tcPr>
            <w:tcW w:type="dxa" w:w="1608"/>
          </w:tcPr>
          <w:p>
            <w:r>
              <w:rPr>
                <w:sz w:val="17"/>
              </w:rPr>
              <w:t>118</w:t>
            </w:r>
          </w:p>
        </w:tc>
        <w:tc>
          <w:tcPr>
            <w:tcW w:type="dxa" w:w="1608"/>
          </w:tcPr>
          <w:p>
            <w:r>
              <w:rPr>
                <w:sz w:val="17"/>
              </w:rPr>
              <w:t>68 wk</w:t>
            </w:r>
          </w:p>
        </w:tc>
      </w:tr>
      <w:tr>
        <w:tc>
          <w:tcPr>
            <w:tcW w:type="dxa" w:w="1608"/>
          </w:tcPr>
          <w:p>
            <w:r>
              <w:rPr>
                <w:sz w:val="17"/>
              </w:rPr>
              <w:t>VTX-401-303</w:t>
            </w:r>
          </w:p>
        </w:tc>
        <w:tc>
          <w:tcPr>
            <w:tcW w:type="dxa" w:w="1608"/>
          </w:tcPr>
          <w:p>
            <w:r>
              <w:rPr>
                <w:sz w:val="17"/>
              </w:rPr>
              <w:t>Cardiovascular outcomes sub-study with independent adjudication (CR-02)</w:t>
            </w:r>
          </w:p>
        </w:tc>
        <w:tc>
          <w:tcPr>
            <w:tcW w:type="dxa" w:w="1608"/>
          </w:tcPr>
          <w:p>
            <w:r>
              <w:rPr>
                <w:sz w:val="17"/>
              </w:rPr>
              <w:t>Nested within 301 and 302</w:t>
            </w:r>
          </w:p>
        </w:tc>
        <w:tc>
          <w:tcPr>
            <w:tcW w:type="dxa" w:w="1608"/>
          </w:tcPr>
          <w:p>
            <w:r>
              <w:rPr>
                <w:sz w:val="17"/>
              </w:rPr>
              <w:t>640</w:t>
            </w:r>
          </w:p>
        </w:tc>
        <w:tc>
          <w:tcPr>
            <w:tcW w:type="dxa" w:w="1608"/>
          </w:tcPr>
          <w:p>
            <w:r>
              <w:rPr>
                <w:sz w:val="17"/>
              </w:rPr>
              <w:t>64</w:t>
            </w:r>
          </w:p>
        </w:tc>
        <w:tc>
          <w:tcPr>
            <w:tcW w:type="dxa" w:w="1608"/>
          </w:tcPr>
          <w:p>
            <w:r>
              <w:rPr>
                <w:sz w:val="17"/>
              </w:rPr>
              <w:t>68 wk</w:t>
            </w:r>
          </w:p>
        </w:tc>
      </w:tr>
    </w:tbl>
    <w:p/>
    <w:p>
      <w:r>
        <w:t>Registration rests on VTX-401-301 and VTX-401-302 — 2,480 participants across two adequate and well-controlled trials. VTX-401-303 is nested within them and supports safety, not efficacy.</w:t>
      </w:r>
    </w:p>
    <w:p>
      <w:pPr>
        <w:spacing w:before="200"/>
      </w:pPr>
      <w:r>
        <w:rPr>
          <w:b/>
          <w:color w:val="2B5F8E"/>
          <w:sz w:val="23"/>
        </w:rPr>
        <w:t>Why two pivotals and not one</w:t>
      </w:r>
    </w:p>
    <w:p>
      <w:r>
        <w:t>A single trial can support approval and often does. Two were chosen here for a specific reason: the differentiation claim is tolerability, and tolerability is a secondary endpoint that will be contested. A result replicated across two independently randomized populations is substantially harder to attribute to chance or to a single site network's characteristics than the same result from one trial, however large.</w:t>
      </w:r>
    </w:p>
    <w:p>
      <w:r>
        <w:t>The cost of that choice is visible in the Program Budget: the pivotal program is $109,100,000, 50% of the base program. A single-trial design would have been materially cheaper and would have supported a weaker claim.</w:t>
      </w:r>
    </w:p>
    <w:p>
      <w:pPr>
        <w:spacing w:before="200"/>
      </w:pPr>
      <w:r>
        <w:rPr>
          <w:b/>
          <w:color w:val="2B5F8E"/>
          <w:sz w:val="23"/>
        </w:rPr>
        <w:t>Why 302 carries an active comparator</w:t>
      </w:r>
    </w:p>
    <w:p>
      <w:r>
        <w:t>The comparator arm in VTX-401-302 is Decision D-08, and it exists for market access rather than for registration. Approval requires superiority over placebo; reimbursement increasingly requires a view on relative effectiveness against what a payer is already funding. Generating that evidence inside the pivotal program is far cheaper than running a separate head-to-head study post-approval, and it means the payer conversation at launch is supported by data rather than by indirect comparison.</w:t>
      </w:r>
    </w:p>
    <w:p>
      <w:pPr>
        <w:spacing w:before="320"/>
      </w:pPr>
      <w:r>
        <w:rPr>
          <w:b/>
          <w:color w:val="12304A"/>
          <w:sz w:val="28"/>
        </w:rPr>
        <w:t>3. Population &amp; Eligibility</w:t>
      </w:r>
    </w:p>
    <w:p>
      <w:r>
        <w:t>Adults, BMI ≥30, or ≥27 with ≥1 weight-related comorbidity.</w:t>
      </w:r>
    </w:p>
    <w:p>
      <w:pPr>
        <w:spacing w:before="160"/>
      </w:pPr>
      <w:r>
        <w:rPr>
          <w:b/>
          <w:color w:val="12304A"/>
          <w:sz w:val="21"/>
        </w:rPr>
        <w:t>Inclusion</w:t>
      </w:r>
    </w:p>
    <w:p>
      <w:pPr>
        <w:pStyle w:val="ListBullet"/>
      </w:pPr>
      <w:r>
        <w:t>Adults aged 18 years or older</w:t>
      </w:r>
    </w:p>
    <w:p>
      <w:pPr>
        <w:pStyle w:val="ListBullet"/>
      </w:pPr>
      <w:r>
        <w:t>BMI ≥30 kg/m², or ≥27 kg/m² with at least one weight-related comorbidity</w:t>
      </w:r>
    </w:p>
    <w:p>
      <w:pPr>
        <w:pStyle w:val="ListBullet"/>
      </w:pPr>
      <w:r>
        <w:t>At least one documented unsuccessful dietary weight-loss attempt</w:t>
      </w:r>
    </w:p>
    <w:p>
      <w:pPr>
        <w:pStyle w:val="ListBullet"/>
      </w:pPr>
      <w:r>
        <w:t>Stable body weight (&lt;5% change) in the 90 days before screening</w:t>
      </w:r>
    </w:p>
    <w:p>
      <w:pPr>
        <w:spacing w:before="160"/>
      </w:pPr>
      <w:r>
        <w:rPr>
          <w:b/>
          <w:color w:val="12304A"/>
          <w:sz w:val="21"/>
        </w:rPr>
        <w:t>Exclusion</w:t>
      </w:r>
    </w:p>
    <w:p>
      <w:pPr>
        <w:pStyle w:val="ListBullet"/>
      </w:pPr>
      <w:r>
        <w:t>Type 1 or type 2 diabetes mellitus</w:t>
      </w:r>
    </w:p>
    <w:p>
      <w:pPr>
        <w:pStyle w:val="ListBullet"/>
      </w:pPr>
      <w:r>
        <w:t>HbA1c ≥6.5% at screening</w:t>
      </w:r>
    </w:p>
    <w:p>
      <w:pPr>
        <w:pStyle w:val="ListBullet"/>
      </w:pPr>
      <w:r>
        <w:t>Personal or family history of medullary thyroid carcinoma or MEN2</w:t>
      </w:r>
    </w:p>
    <w:p>
      <w:pPr>
        <w:pStyle w:val="ListBullet"/>
      </w:pPr>
      <w:r>
        <w:t>History of pancreatitis</w:t>
      </w:r>
    </w:p>
    <w:p>
      <w:pPr>
        <w:pStyle w:val="ListBullet"/>
      </w:pPr>
      <w:r>
        <w:t>Prior or current GLP-1 receptor agonist exposure within 90 days</w:t>
      </w:r>
    </w:p>
    <w:p>
      <w:pPr>
        <w:pStyle w:val="ListBullet"/>
      </w:pPr>
      <w:r>
        <w:t>Bariatric surgery within 5 years, or planned during the study</w:t>
      </w:r>
    </w:p>
    <w:p>
      <w:pPr>
        <w:pStyle w:val="ListBullet"/>
      </w:pPr>
      <w:r>
        <w:t>Major cardiovascular event within 180 days</w:t>
      </w:r>
    </w:p>
    <w:p>
      <w:pPr>
        <w:pStyle w:val="ListBullet"/>
      </w:pPr>
      <w:r>
        <w:t>Pregnancy, lactation, or intention to conceive during the study</w:t>
      </w:r>
    </w:p>
    <w:p>
      <w:pPr>
        <w:spacing w:before="120"/>
        <w:ind w:left="360"/>
      </w:pPr>
      <w:r>
        <w:rPr>
          <w:i/>
          <w:color w:val="12304A"/>
          <w:sz w:val="20"/>
        </w:rPr>
        <w:t>Three exclusions drive most of the screen failures, and two of them are not negotiable. The HbA1c threshold and the diabetes exclusion exist because a weight-management indication must not be confounded by glycaemic effect — they are design-critical and cannot be relaxed to help enrolment. The medullary thyroid carcinoma and MEN2 history exclusion is a class safety obligation and is likewise fixed.</w:t>
      </w:r>
    </w:p>
    <w:p>
      <w:pPr>
        <w:spacing w:before="120"/>
        <w:ind w:left="360"/>
      </w:pPr>
      <w:r>
        <w:rPr>
          <w:i/>
          <w:color w:val="12304A"/>
          <w:sz w:val="20"/>
        </w:rPr>
        <w:t>The prior-GLP-1-exposure washout is the one with room in it, and it is the one causing the most screen failures in a market where GLP-1 use is now widespread. Extending the washout would worsen recruitment; shortening it risks carry-over effect on the primary endpoint. The protocol holds at 90 days and the program absorbs the recruitment cost.</w:t>
      </w:r>
    </w:p>
    <w:p>
      <w:pPr>
        <w:spacing w:before="320"/>
      </w:pPr>
      <w:r>
        <w:rPr>
          <w:b/>
          <w:color w:val="12304A"/>
          <w:sz w:val="28"/>
        </w:rPr>
        <w:t>4. Endpoints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Tier</w:t>
            </w:r>
          </w:p>
        </w:tc>
        <w:tc>
          <w:tcPr>
            <w:tcW w:type="dxa" w:w="3216"/>
          </w:tcPr>
          <w:p>
            <w:r>
              <w:rPr>
                <w:b/>
                <w:sz w:val="17"/>
              </w:rPr>
              <w:t>Endpoint</w:t>
            </w:r>
          </w:p>
        </w:tc>
        <w:tc>
          <w:tcPr>
            <w:tcW w:type="dxa" w:w="3216"/>
          </w:tcPr>
          <w:p>
            <w:r>
              <w:rPr>
                <w:b/>
                <w:sz w:val="17"/>
              </w:rPr>
              <w:t>Test</w:t>
            </w:r>
          </w:p>
        </w:tc>
      </w:tr>
      <w:tr>
        <w:tc>
          <w:tcPr>
            <w:tcW w:type="dxa" w:w="3216"/>
          </w:tcPr>
          <w:p>
            <w:r>
              <w:rPr>
                <w:sz w:val="17"/>
              </w:rPr>
              <w:t>Co-primary</w:t>
            </w:r>
          </w:p>
        </w:tc>
        <w:tc>
          <w:tcPr>
            <w:tcW w:type="dxa" w:w="3216"/>
          </w:tcPr>
          <w:p>
            <w:r>
              <w:rPr>
                <w:sz w:val="17"/>
              </w:rPr>
              <w:t>Percent change in body weight, baseline to week 68</w:t>
            </w:r>
          </w:p>
        </w:tc>
        <w:tc>
          <w:tcPr>
            <w:tcW w:type="dxa" w:w="3216"/>
          </w:tcPr>
          <w:p>
            <w:r>
              <w:rPr>
                <w:sz w:val="17"/>
              </w:rPr>
              <w:t>Superiority vs placebo</w:t>
            </w:r>
          </w:p>
        </w:tc>
      </w:tr>
      <w:tr>
        <w:tc>
          <w:tcPr>
            <w:tcW w:type="dxa" w:w="3216"/>
          </w:tcPr>
          <w:p>
            <w:r>
              <w:rPr>
                <w:sz w:val="17"/>
              </w:rPr>
              <w:t>Co-primary</w:t>
            </w:r>
          </w:p>
        </w:tc>
        <w:tc>
          <w:tcPr>
            <w:tcW w:type="dxa" w:w="3216"/>
          </w:tcPr>
          <w:p>
            <w:r>
              <w:rPr>
                <w:sz w:val="17"/>
              </w:rPr>
              <w:t>Proportion achieving ≥5% weight reduction at week 68</w:t>
            </w:r>
          </w:p>
        </w:tc>
        <w:tc>
          <w:tcPr>
            <w:tcW w:type="dxa" w:w="3216"/>
          </w:tcPr>
          <w:p>
            <w:r>
              <w:rPr>
                <w:sz w:val="17"/>
              </w:rPr>
              <w:t>Superiority vs placebo</w:t>
            </w:r>
          </w:p>
        </w:tc>
      </w:tr>
      <w:tr>
        <w:tc>
          <w:tcPr>
            <w:tcW w:type="dxa" w:w="3216"/>
          </w:tcPr>
          <w:p>
            <w:r>
              <w:rPr>
                <w:sz w:val="17"/>
              </w:rPr>
              <w:t>Key secondary 1</w:t>
            </w:r>
          </w:p>
        </w:tc>
        <w:tc>
          <w:tcPr>
            <w:tcW w:type="dxa" w:w="3216"/>
          </w:tcPr>
          <w:p>
            <w:r>
              <w:rPr>
                <w:sz w:val="17"/>
              </w:rPr>
              <w:t>Proportion achieving ≥10% weight reduction at week 68</w:t>
            </w:r>
          </w:p>
        </w:tc>
        <w:tc>
          <w:tcPr>
            <w:tcW w:type="dxa" w:w="3216"/>
          </w:tcPr>
          <w:p>
            <w:r>
              <w:rPr>
                <w:sz w:val="17"/>
              </w:rPr>
              <w:t>Hierarchical</w:t>
            </w:r>
          </w:p>
        </w:tc>
      </w:tr>
      <w:tr>
        <w:tc>
          <w:tcPr>
            <w:tcW w:type="dxa" w:w="3216"/>
          </w:tcPr>
          <w:p>
            <w:r>
              <w:rPr>
                <w:sz w:val="17"/>
              </w:rPr>
              <w:t>Key secondary 2</w:t>
            </w:r>
          </w:p>
        </w:tc>
        <w:tc>
          <w:tcPr>
            <w:tcW w:type="dxa" w:w="3216"/>
          </w:tcPr>
          <w:p>
            <w:r>
              <w:rPr>
                <w:sz w:val="17"/>
              </w:rPr>
              <w:t>Proportion achieving ≥15% weight reduction at week 68</w:t>
            </w:r>
          </w:p>
        </w:tc>
        <w:tc>
          <w:tcPr>
            <w:tcW w:type="dxa" w:w="3216"/>
          </w:tcPr>
          <w:p>
            <w:r>
              <w:rPr>
                <w:sz w:val="17"/>
              </w:rPr>
              <w:t>Hierarchical</w:t>
            </w:r>
          </w:p>
        </w:tc>
      </w:tr>
      <w:tr>
        <w:tc>
          <w:tcPr>
            <w:tcW w:type="dxa" w:w="3216"/>
          </w:tcPr>
          <w:p>
            <w:r>
              <w:rPr>
                <w:sz w:val="17"/>
              </w:rPr>
              <w:t>Key secondary 3</w:t>
            </w:r>
          </w:p>
        </w:tc>
        <w:tc>
          <w:tcPr>
            <w:tcW w:type="dxa" w:w="3216"/>
          </w:tcPr>
          <w:p>
            <w:r>
              <w:rPr>
                <w:sz w:val="17"/>
              </w:rPr>
              <w:t>Change in waist circumference at week 68</w:t>
            </w:r>
          </w:p>
        </w:tc>
        <w:tc>
          <w:tcPr>
            <w:tcW w:type="dxa" w:w="3216"/>
          </w:tcPr>
          <w:p>
            <w:r>
              <w:rPr>
                <w:sz w:val="17"/>
              </w:rPr>
              <w:t>Hierarchical</w:t>
            </w:r>
          </w:p>
        </w:tc>
      </w:tr>
      <w:tr>
        <w:tc>
          <w:tcPr>
            <w:tcW w:type="dxa" w:w="3216"/>
          </w:tcPr>
          <w:p>
            <w:r>
              <w:rPr>
                <w:sz w:val="17"/>
              </w:rPr>
              <w:t>Key secondary 4</w:t>
            </w:r>
          </w:p>
        </w:tc>
        <w:tc>
          <w:tcPr>
            <w:tcW w:type="dxa" w:w="3216"/>
          </w:tcPr>
          <w:p>
            <w:r>
              <w:rPr>
                <w:sz w:val="17"/>
              </w:rPr>
              <w:t>Discontinuation attributable to gastrointestinal adverse events</w:t>
            </w:r>
          </w:p>
        </w:tc>
        <w:tc>
          <w:tcPr>
            <w:tcW w:type="dxa" w:w="3216"/>
          </w:tcPr>
          <w:p>
            <w:r>
              <w:rPr>
                <w:sz w:val="17"/>
              </w:rPr>
              <w:t>Hierarchical — the differentiation endpoint</w:t>
            </w:r>
          </w:p>
        </w:tc>
      </w:tr>
      <w:tr>
        <w:tc>
          <w:tcPr>
            <w:tcW w:type="dxa" w:w="3216"/>
          </w:tcPr>
          <w:p>
            <w:r>
              <w:rPr>
                <w:sz w:val="17"/>
              </w:rPr>
              <w:t>Safety</w:t>
            </w:r>
          </w:p>
        </w:tc>
        <w:tc>
          <w:tcPr>
            <w:tcW w:type="dxa" w:w="3216"/>
          </w:tcPr>
          <w:p>
            <w:r>
              <w:rPr>
                <w:sz w:val="17"/>
              </w:rPr>
              <w:t>Treatment-emergent adverse events, laboratory, vital signs, ECG</w:t>
            </w:r>
          </w:p>
        </w:tc>
        <w:tc>
          <w:tcPr>
            <w:tcW w:type="dxa" w:w="3216"/>
          </w:tcPr>
          <w:p>
            <w:r>
              <w:rPr>
                <w:sz w:val="17"/>
              </w:rPr>
              <w:t>Descriptive</w:t>
            </w:r>
          </w:p>
        </w:tc>
      </w:tr>
      <w:tr>
        <w:tc>
          <w:tcPr>
            <w:tcW w:type="dxa" w:w="3216"/>
          </w:tcPr>
          <w:p>
            <w:r>
              <w:rPr>
                <w:sz w:val="17"/>
              </w:rPr>
              <w:t>Sub-study</w:t>
            </w:r>
          </w:p>
        </w:tc>
        <w:tc>
          <w:tcPr>
            <w:tcW w:type="dxa" w:w="3216"/>
          </w:tcPr>
          <w:p>
            <w:r>
              <w:rPr>
                <w:sz w:val="17"/>
              </w:rPr>
              <w:t>Time to first adjudicated major adverse cardiovascular event</w:t>
            </w:r>
          </w:p>
        </w:tc>
        <w:tc>
          <w:tcPr>
            <w:tcW w:type="dxa" w:w="3216"/>
          </w:tcPr>
          <w:p>
            <w:r>
              <w:rPr>
                <w:sz w:val="17"/>
              </w:rPr>
              <w:t>Non-inferiority, HR upper bound &lt;1.4</w:t>
            </w:r>
          </w:p>
        </w:tc>
      </w:tr>
    </w:tbl>
    <w:p/>
    <w:p>
      <w:pPr>
        <w:spacing w:before="120"/>
        <w:ind w:left="360"/>
      </w:pPr>
      <w:r>
        <w:rPr>
          <w:i/>
          <w:color w:val="12304A"/>
          <w:sz w:val="20"/>
        </w:rPr>
        <w:t>The hierarchy is not presentational — it controls type I error. Key secondary endpoints are tested in the stated order and testing stops at the first failure. Everything below a failed endpoint becomes descriptive and cannot support a labeling claim.</w:t>
      </w:r>
    </w:p>
    <w:p>
      <w:pPr>
        <w:spacing w:before="120"/>
        <w:ind w:left="360"/>
      </w:pPr>
      <w:r>
        <w:rPr>
          <w:i/>
          <w:color w:val="12304A"/>
          <w:sz w:val="20"/>
        </w:rPr>
        <w:t>That places the GI-attributed discontinuation endpoint fourth in the hierarchy, behind three weight-reduction endpoints. It is the program's differentiation claim sitting behind three tests it must first pass. This was argued at protocol finalisation and the position lost: the agency's expectations for the indication drive the weight endpoints to the top, and reordering to protect a commercial claim would have been visible as exactly that.</w:t>
      </w:r>
    </w:p>
    <w:p>
      <w:r>
        <w:t>Endpoint definitions and the testing order were agreed at the End-of-Phase-2 meeting of 19 May 2026 and are recorded as must-meet criterion M2 at Gate 4. Changing either now would require a new agency interaction, which is why endpoints sit in the “cannot change” category at §1.</w:t>
      </w:r>
    </w:p>
    <w:p>
      <w:pPr>
        <w:spacing w:before="320"/>
      </w:pPr>
      <w:r>
        <w:rPr>
          <w:b/>
          <w:color w:val="12304A"/>
          <w:sz w:val="28"/>
        </w:rPr>
        <w:t>5. Statistical Design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Parameter</w:t>
            </w:r>
          </w:p>
        </w:tc>
        <w:tc>
          <w:tcPr>
            <w:tcW w:type="dxa" w:w="4824"/>
          </w:tcPr>
          <w:p>
            <w:r>
              <w:rPr>
                <w:b/>
                <w:sz w:val="17"/>
              </w:rPr>
              <w:t>Value</w:t>
            </w:r>
          </w:p>
        </w:tc>
      </w:tr>
      <w:tr>
        <w:tc>
          <w:tcPr>
            <w:tcW w:type="dxa" w:w="4824"/>
          </w:tcPr>
          <w:p>
            <w:r>
              <w:rPr>
                <w:sz w:val="17"/>
              </w:rPr>
              <w:t>Power</w:t>
            </w:r>
          </w:p>
        </w:tc>
        <w:tc>
          <w:tcPr>
            <w:tcW w:type="dxa" w:w="4824"/>
          </w:tcPr>
          <w:p>
            <w:r>
              <w:rPr>
                <w:sz w:val="17"/>
              </w:rPr>
              <w:t>90% for both co-primary endpoints</w:t>
            </w:r>
          </w:p>
        </w:tc>
      </w:tr>
      <w:tr>
        <w:tc>
          <w:tcPr>
            <w:tcW w:type="dxa" w:w="4824"/>
          </w:tcPr>
          <w:p>
            <w:r>
              <w:rPr>
                <w:sz w:val="17"/>
              </w:rPr>
              <w:t>Significance level</w:t>
            </w:r>
          </w:p>
        </w:tc>
        <w:tc>
          <w:tcPr>
            <w:tcW w:type="dxa" w:w="4824"/>
          </w:tcPr>
          <w:p>
            <w:r>
              <w:rPr>
                <w:sz w:val="17"/>
              </w:rPr>
              <w:t>0.05, two-sided</w:t>
            </w:r>
          </w:p>
        </w:tc>
      </w:tr>
      <w:tr>
        <w:tc>
          <w:tcPr>
            <w:tcW w:type="dxa" w:w="4824"/>
          </w:tcPr>
          <w:p>
            <w:r>
              <w:rPr>
                <w:sz w:val="17"/>
              </w:rPr>
              <w:t>Estimand</w:t>
            </w:r>
          </w:p>
        </w:tc>
        <w:tc>
          <w:tcPr>
            <w:tcW w:type="dxa" w:w="4824"/>
          </w:tcPr>
          <w:p>
            <w:r>
              <w:rPr>
                <w:sz w:val="17"/>
              </w:rPr>
              <w:t>Treatment policy — effects regardless of adherence, intention-to-treat</w:t>
            </w:r>
          </w:p>
        </w:tc>
      </w:tr>
      <w:tr>
        <w:tc>
          <w:tcPr>
            <w:tcW w:type="dxa" w:w="4824"/>
          </w:tcPr>
          <w:p>
            <w:r>
              <w:rPr>
                <w:sz w:val="17"/>
              </w:rPr>
              <w:t>Missing data</w:t>
            </w:r>
          </w:p>
        </w:tc>
        <w:tc>
          <w:tcPr>
            <w:tcW w:type="dxa" w:w="4824"/>
          </w:tcPr>
          <w:p>
            <w:r>
              <w:rPr>
                <w:sz w:val="17"/>
              </w:rPr>
              <w:t>Multiple imputation under a retrieved-dropout assumption; tipping-point sensitivity</w:t>
            </w:r>
          </w:p>
        </w:tc>
      </w:tr>
      <w:tr>
        <w:tc>
          <w:tcPr>
            <w:tcW w:type="dxa" w:w="4824"/>
          </w:tcPr>
          <w:p>
            <w:r>
              <w:rPr>
                <w:sz w:val="17"/>
              </w:rPr>
              <w:t>Interim analysis</w:t>
            </w:r>
          </w:p>
        </w:tc>
        <w:tc>
          <w:tcPr>
            <w:tcW w:type="dxa" w:w="4824"/>
          </w:tcPr>
          <w:p>
            <w:r>
              <w:rPr>
                <w:sz w:val="17"/>
              </w:rPr>
              <w:t>One interim futility analysis at 50% of participants completing week 24, reviewed by the DMC only. No efficacy stopping boundary.</w:t>
            </w:r>
          </w:p>
        </w:tc>
      </w:tr>
    </w:tbl>
    <w:p/>
    <w:p>
      <w:pPr>
        <w:spacing w:before="120"/>
        <w:ind w:left="360"/>
      </w:pPr>
      <w:r>
        <w:rPr>
          <w:i/>
          <w:color w:val="12304A"/>
          <w:sz w:val="20"/>
        </w:rPr>
        <w:t>There is no efficacy stopping boundary, and that is deliberate. The single interim is a futility look reviewed by the Data Monitoring Committee alone. A program that can stop early for efficacy creates an incentive to do so, and stopping early on a weight-management endpoint produces a smaller safety database on a chronic therapy intended for long-term use — which is the opposite of what the label needs.</w:t>
      </w:r>
    </w:p>
    <w:p>
      <w:pPr>
        <w:spacing w:before="120"/>
        <w:ind w:left="360"/>
      </w:pPr>
      <w:r>
        <w:rPr>
          <w:i/>
          <w:color w:val="12304A"/>
          <w:sz w:val="20"/>
        </w:rPr>
        <w:t>The futility look protects participants and capital. The absence of an efficacy boundary protects the filing.</w:t>
      </w:r>
    </w:p>
    <w:p>
      <w:r>
        <w:t>The estimand is a treatment-policy estimand: the analysis measures effects regardless of whether participants stayed on treatment. On a therapy whose principal risk is discontinuation for tolerability, an on-treatment estimand would systematically flatter the result by analysing out the people the drug failed.</w:t>
      </w:r>
    </w:p>
    <w:p>
      <w:pPr>
        <w:spacing w:before="320"/>
      </w:pPr>
      <w:r>
        <w:rPr>
          <w:b/>
          <w:color w:val="12304A"/>
          <w:sz w:val="28"/>
        </w:rPr>
        <w:t>6. Enrolment Position — 15 October 2026</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Measure</w:t>
            </w:r>
          </w:p>
        </w:tc>
        <w:tc>
          <w:tcPr>
            <w:tcW w:type="dxa" w:w="3216"/>
          </w:tcPr>
          <w:p>
            <w:r>
              <w:rPr>
                <w:b/>
                <w:sz w:val="17"/>
              </w:rPr>
              <w:t>Value</w:t>
            </w:r>
          </w:p>
        </w:tc>
        <w:tc>
          <w:tcPr>
            <w:tcW w:type="dxa" w:w="3216"/>
          </w:tcPr>
          <w:p>
            <w:r>
              <w:rPr>
                <w:b/>
                <w:sz w:val="17"/>
              </w:rPr>
              <w:t>Note</w:t>
            </w:r>
          </w:p>
        </w:tc>
      </w:tr>
      <w:tr>
        <w:tc>
          <w:tcPr>
            <w:tcW w:type="dxa" w:w="3216"/>
          </w:tcPr>
          <w:p>
            <w:r>
              <w:rPr>
                <w:sz w:val="17"/>
              </w:rPr>
              <w:t>Sites planned</w:t>
            </w:r>
          </w:p>
        </w:tc>
        <w:tc>
          <w:tcPr>
            <w:tcW w:type="dxa" w:w="3216"/>
          </w:tcPr>
          <w:p>
            <w:r>
              <w:rPr>
                <w:sz w:val="17"/>
              </w:rPr>
              <w:t>260</w:t>
            </w:r>
          </w:p>
        </w:tc>
        <w:tc>
          <w:tcPr>
            <w:tcW w:type="dxa" w:w="3216"/>
          </w:tcPr>
          <w:p>
            <w:r>
              <w:rPr>
                <w:sz w:val="17"/>
              </w:rPr>
            </w:r>
          </w:p>
        </w:tc>
      </w:tr>
      <w:tr>
        <w:tc>
          <w:tcPr>
            <w:tcW w:type="dxa" w:w="3216"/>
          </w:tcPr>
          <w:p>
            <w:r>
              <w:rPr>
                <w:sz w:val="17"/>
              </w:rPr>
              <w:t>Sites activated</w:t>
            </w:r>
          </w:p>
        </w:tc>
        <w:tc>
          <w:tcPr>
            <w:tcW w:type="dxa" w:w="3216"/>
          </w:tcPr>
          <w:p>
            <w:r>
              <w:rPr>
                <w:sz w:val="17"/>
              </w:rPr>
              <w:t>231</w:t>
            </w:r>
          </w:p>
        </w:tc>
        <w:tc>
          <w:tcPr>
            <w:tcW w:type="dxa" w:w="3216"/>
          </w:tcPr>
          <w:p>
            <w:r>
              <w:rPr>
                <w:sz w:val="17"/>
              </w:rPr>
              <w:t>89% of plan</w:t>
            </w:r>
          </w:p>
        </w:tc>
      </w:tr>
      <w:tr>
        <w:tc>
          <w:tcPr>
            <w:tcW w:type="dxa" w:w="3216"/>
          </w:tcPr>
          <w:p>
            <w:r>
              <w:rPr>
                <w:sz w:val="17"/>
              </w:rPr>
              <w:t>Sites enrolling</w:t>
            </w:r>
          </w:p>
        </w:tc>
        <w:tc>
          <w:tcPr>
            <w:tcW w:type="dxa" w:w="3216"/>
          </w:tcPr>
          <w:p>
            <w:r>
              <w:rPr>
                <w:sz w:val="17"/>
              </w:rPr>
              <w:t>214</w:t>
            </w:r>
          </w:p>
        </w:tc>
        <w:tc>
          <w:tcPr>
            <w:tcW w:type="dxa" w:w="3216"/>
          </w:tcPr>
          <w:p>
            <w:r>
              <w:rPr>
                <w:sz w:val="17"/>
              </w:rPr>
              <w:t>17 activated but not yet randomizing</w:t>
            </w:r>
          </w:p>
        </w:tc>
      </w:tr>
      <w:tr>
        <w:tc>
          <w:tcPr>
            <w:tcW w:type="dxa" w:w="3216"/>
          </w:tcPr>
          <w:p>
            <w:r>
              <w:rPr>
                <w:sz w:val="17"/>
              </w:rPr>
              <w:t>Screened</w:t>
            </w:r>
          </w:p>
        </w:tc>
        <w:tc>
          <w:tcPr>
            <w:tcW w:type="dxa" w:w="3216"/>
          </w:tcPr>
          <w:p>
            <w:r>
              <w:rPr>
                <w:sz w:val="17"/>
              </w:rPr>
              <w:t>2,910</w:t>
            </w:r>
          </w:p>
        </w:tc>
        <w:tc>
          <w:tcPr>
            <w:tcW w:type="dxa" w:w="3216"/>
          </w:tcPr>
          <w:p>
            <w:r>
              <w:rPr>
                <w:sz w:val="17"/>
              </w:rPr>
            </w:r>
          </w:p>
        </w:tc>
      </w:tr>
      <w:tr>
        <w:tc>
          <w:tcPr>
            <w:tcW w:type="dxa" w:w="3216"/>
          </w:tcPr>
          <w:p>
            <w:r>
              <w:rPr>
                <w:sz w:val="17"/>
              </w:rPr>
              <w:t>Screen failures</w:t>
            </w:r>
          </w:p>
        </w:tc>
        <w:tc>
          <w:tcPr>
            <w:tcW w:type="dxa" w:w="3216"/>
          </w:tcPr>
          <w:p>
            <w:r>
              <w:rPr>
                <w:sz w:val="17"/>
              </w:rPr>
              <w:t>1,142</w:t>
            </w:r>
          </w:p>
        </w:tc>
        <w:tc>
          <w:tcPr>
            <w:tcW w:type="dxa" w:w="3216"/>
          </w:tcPr>
          <w:p>
            <w:r>
              <w:rPr>
                <w:sz w:val="17"/>
              </w:rPr>
              <w:t>40% of completed screening — mid-range against the published 20–80% span</w:t>
            </w:r>
          </w:p>
        </w:tc>
      </w:tr>
      <w:tr>
        <w:tc>
          <w:tcPr>
            <w:tcW w:type="dxa" w:w="3216"/>
          </w:tcPr>
          <w:p>
            <w:r>
              <w:rPr>
                <w:sz w:val="17"/>
              </w:rPr>
              <w:t>Randomized</w:t>
            </w:r>
          </w:p>
        </w:tc>
        <w:tc>
          <w:tcPr>
            <w:tcW w:type="dxa" w:w="3216"/>
          </w:tcPr>
          <w:p>
            <w:r>
              <w:rPr>
                <w:sz w:val="17"/>
              </w:rPr>
              <w:t>1,684</w:t>
            </w:r>
          </w:p>
        </w:tc>
        <w:tc>
          <w:tcPr>
            <w:tcW w:type="dxa" w:w="3216"/>
          </w:tcPr>
          <w:p>
            <w:r>
              <w:rPr>
                <w:sz w:val="17"/>
              </w:rPr>
              <w:t>68% of the 2,480 target</w:t>
            </w:r>
          </w:p>
        </w:tc>
      </w:tr>
      <w:tr>
        <w:tc>
          <w:tcPr>
            <w:tcW w:type="dxa" w:w="3216"/>
          </w:tcPr>
          <w:p>
            <w:r>
              <w:rPr>
                <w:sz w:val="17"/>
              </w:rPr>
              <w:t>Planned to date</w:t>
            </w:r>
          </w:p>
        </w:tc>
        <w:tc>
          <w:tcPr>
            <w:tcW w:type="dxa" w:w="3216"/>
          </w:tcPr>
          <w:p>
            <w:r>
              <w:rPr>
                <w:sz w:val="17"/>
              </w:rPr>
              <w:t>1,760</w:t>
            </w:r>
          </w:p>
        </w:tc>
        <w:tc>
          <w:tcPr>
            <w:tcW w:type="dxa" w:w="3216"/>
          </w:tcPr>
          <w:p>
            <w:r>
              <w:rPr>
                <w:sz w:val="17"/>
              </w:rPr>
              <w:t>76 behind curve (96%)</w:t>
            </w:r>
          </w:p>
        </w:tc>
      </w:tr>
    </w:tbl>
    <w:p/>
    <w:p>
      <w:pPr>
        <w:spacing w:before="120"/>
        <w:ind w:left="360"/>
      </w:pPr>
      <w:r>
        <w:rPr>
          <w:i/>
          <w:color w:val="12304A"/>
          <w:sz w:val="20"/>
        </w:rPr>
        <w:t>Enrolment is 4% behind the planned curve. That is R-05 materialising at a manageable scale, and it is worth reading precisely rather than as a single red figure.</w:t>
      </w:r>
    </w:p>
    <w:p>
      <w:pPr>
        <w:spacing w:before="120"/>
        <w:ind w:left="360"/>
      </w:pPr>
      <w:r>
        <w:rPr>
          <w:i/>
          <w:color w:val="12304A"/>
          <w:sz w:val="20"/>
        </w:rPr>
        <w:t>The screen-failure rate of 40% is unremarkable — published rates span 20% to 80% and this sits mid-range. More to the point, it is not improving fast enough to matter: the two largest causes are the GLP-1 washout and the diabetes exclusion, and neither can be relaxed without damaging the endpoint. Screening is not where the recovery comes from.</w:t>
      </w:r>
    </w:p>
    <w:p>
      <w:pPr>
        <w:spacing w:before="120"/>
        <w:ind w:left="360"/>
      </w:pPr>
      <w:r>
        <w:rPr>
          <w:i/>
          <w:color w:val="12304A"/>
          <w:sz w:val="20"/>
        </w:rPr>
        <w:t>It is a site problem. 17 sites are activated but have not randomized anyone, and 29 of the planned 260 are not activated at all. Published benchmarks put site non-activation at around 11% and this program is at 18% on the harsher measure of sites not yet enrolling. Recovery therefore runs through site activation and the reserve list, not through loosening criteria.</w:t>
      </w:r>
    </w:p>
    <w:p>
      <w:r>
        <w:t>Detailed tracking, per-site performance and the recovery plan live in the Enrolment &amp; Site Dashboard and the Site Selection &amp; Management Plan.</w:t>
      </w:r>
    </w:p>
    <w:p>
      <w:pPr>
        <w:spacing w:before="320"/>
      </w:pPr>
      <w:r>
        <w:rPr>
          <w:b/>
          <w:color w:val="12304A"/>
          <w:sz w:val="28"/>
        </w:rPr>
        <w:t>7. What Is Schedule-Critical, Cost-Critical, or Fixed</w:t>
      </w:r>
    </w:p>
    <w:p>
      <w:r>
        <w:t>The three categories from §1, applied.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Design element</w:t>
            </w:r>
          </w:p>
        </w:tc>
        <w:tc>
          <w:tcPr>
            <w:tcW w:type="dxa" w:w="3216"/>
          </w:tcPr>
          <w:p>
            <w:r>
              <w:rPr>
                <w:b/>
                <w:sz w:val="17"/>
              </w:rPr>
              <w:t>Category</w:t>
            </w:r>
          </w:p>
        </w:tc>
        <w:tc>
          <w:tcPr>
            <w:tcW w:type="dxa" w:w="3216"/>
          </w:tcPr>
          <w:p>
            <w:r>
              <w:rPr>
                <w:b/>
                <w:sz w:val="17"/>
              </w:rPr>
              <w:t>Consequence</w:t>
            </w:r>
          </w:p>
        </w:tc>
      </w:tr>
      <w:tr>
        <w:tc>
          <w:tcPr>
            <w:tcW w:type="dxa" w:w="3216"/>
          </w:tcPr>
          <w:p>
            <w:r>
              <w:rPr>
                <w:sz w:val="17"/>
              </w:rPr>
              <w:t>Co-primary endpoints and testing hierarchy</w:t>
            </w:r>
          </w:p>
        </w:tc>
        <w:tc>
          <w:tcPr>
            <w:tcW w:type="dxa" w:w="3216"/>
          </w:tcPr>
          <w:p>
            <w:r>
              <w:rPr>
                <w:sz w:val="17"/>
              </w:rPr>
              <w:t>Fixed</w:t>
            </w:r>
          </w:p>
        </w:tc>
        <w:tc>
          <w:tcPr>
            <w:tcW w:type="dxa" w:w="3216"/>
          </w:tcPr>
          <w:p>
            <w:r>
              <w:rPr>
                <w:sz w:val="17"/>
              </w:rPr>
              <w:t>Agreed at End-of-Phase-2. Any change requires a new agency interaction and reopens Gate 4 must-meet M2.</w:t>
            </w:r>
          </w:p>
        </w:tc>
      </w:tr>
      <w:tr>
        <w:tc>
          <w:tcPr>
            <w:tcW w:type="dxa" w:w="3216"/>
          </w:tcPr>
          <w:p>
            <w:r>
              <w:rPr>
                <w:sz w:val="17"/>
              </w:rPr>
              <w:t>68-week treatment duration</w:t>
            </w:r>
          </w:p>
        </w:tc>
        <w:tc>
          <w:tcPr>
            <w:tcW w:type="dxa" w:w="3216"/>
          </w:tcPr>
          <w:p>
            <w:r>
              <w:rPr>
                <w:sz w:val="17"/>
              </w:rPr>
              <w:t>Fixed</w:t>
            </w:r>
          </w:p>
        </w:tc>
        <w:tc>
          <w:tcPr>
            <w:tcW w:type="dxa" w:w="3216"/>
          </w:tcPr>
          <w:p>
            <w:r>
              <w:rPr>
                <w:sz w:val="17"/>
              </w:rPr>
              <w:t>Convention for the indication. Shortening it would not support the label.</w:t>
            </w:r>
          </w:p>
        </w:tc>
      </w:tr>
      <w:tr>
        <w:tc>
          <w:tcPr>
            <w:tcW w:type="dxa" w:w="3216"/>
          </w:tcPr>
          <w:p>
            <w:r>
              <w:rPr>
                <w:sz w:val="17"/>
              </w:rPr>
              <w:t>Diabetes and HbA1c exclusions</w:t>
            </w:r>
          </w:p>
        </w:tc>
        <w:tc>
          <w:tcPr>
            <w:tcW w:type="dxa" w:w="3216"/>
          </w:tcPr>
          <w:p>
            <w:r>
              <w:rPr>
                <w:sz w:val="17"/>
              </w:rPr>
              <w:t>Fixed</w:t>
            </w:r>
          </w:p>
        </w:tc>
        <w:tc>
          <w:tcPr>
            <w:tcW w:type="dxa" w:w="3216"/>
          </w:tcPr>
          <w:p>
            <w:r>
              <w:rPr>
                <w:sz w:val="17"/>
              </w:rPr>
              <w:t>Design integrity — the indication cannot be confounded by glycaemic effect.</w:t>
            </w:r>
          </w:p>
        </w:tc>
      </w:tr>
      <w:tr>
        <w:tc>
          <w:tcPr>
            <w:tcW w:type="dxa" w:w="3216"/>
          </w:tcPr>
          <w:p>
            <w:r>
              <w:rPr>
                <w:sz w:val="17"/>
              </w:rPr>
              <w:t>Site count and activation sequence</w:t>
            </w:r>
          </w:p>
        </w:tc>
        <w:tc>
          <w:tcPr>
            <w:tcW w:type="dxa" w:w="3216"/>
          </w:tcPr>
          <w:p>
            <w:r>
              <w:rPr>
                <w:sz w:val="17"/>
              </w:rPr>
              <w:t>Schedule-critical</w:t>
            </w:r>
          </w:p>
        </w:tc>
        <w:tc>
          <w:tcPr>
            <w:tcW w:type="dxa" w:w="3216"/>
          </w:tcPr>
          <w:p>
            <w:r>
              <w:rPr>
                <w:sz w:val="17"/>
              </w:rPr>
              <w:t>The binding constraint on last-patient-in, and therefore on database lock and the Gate 5 filing date.</w:t>
            </w:r>
          </w:p>
        </w:tc>
      </w:tr>
      <w:tr>
        <w:tc>
          <w:tcPr>
            <w:tcW w:type="dxa" w:w="3216"/>
          </w:tcPr>
          <w:p>
            <w:r>
              <w:rPr>
                <w:sz w:val="17"/>
              </w:rPr>
              <w:t>Prior-GLP-1 washout period</w:t>
            </w:r>
          </w:p>
        </w:tc>
        <w:tc>
          <w:tcPr>
            <w:tcW w:type="dxa" w:w="3216"/>
          </w:tcPr>
          <w:p>
            <w:r>
              <w:rPr>
                <w:sz w:val="17"/>
              </w:rPr>
              <w:t>Schedule-critical</w:t>
            </w:r>
          </w:p>
        </w:tc>
        <w:tc>
          <w:tcPr>
            <w:tcW w:type="dxa" w:w="3216"/>
          </w:tcPr>
          <w:p>
            <w:r>
              <w:rPr>
                <w:sz w:val="17"/>
              </w:rPr>
              <w:t>Drives screen failure in a market with widespread GLP-1 use. Held at 90 days.</w:t>
            </w:r>
          </w:p>
        </w:tc>
      </w:tr>
      <w:tr>
        <w:tc>
          <w:tcPr>
            <w:tcW w:type="dxa" w:w="3216"/>
          </w:tcPr>
          <w:p>
            <w:r>
              <w:rPr>
                <w:sz w:val="17"/>
              </w:rPr>
              <w:t>Number of pivotal trials</w:t>
            </w:r>
          </w:p>
        </w:tc>
        <w:tc>
          <w:tcPr>
            <w:tcW w:type="dxa" w:w="3216"/>
          </w:tcPr>
          <w:p>
            <w:r>
              <w:rPr>
                <w:sz w:val="17"/>
              </w:rPr>
              <w:t>Cost-critical</w:t>
            </w:r>
          </w:p>
        </w:tc>
        <w:tc>
          <w:tcPr>
            <w:tcW w:type="dxa" w:w="3216"/>
          </w:tcPr>
          <w:p>
            <w:r>
              <w:rPr>
                <w:sz w:val="17"/>
              </w:rPr>
              <w:t>Two trials rather than one is most of the $109,100,000 pivotal cost.</w:t>
            </w:r>
          </w:p>
        </w:tc>
      </w:tr>
      <w:tr>
        <w:tc>
          <w:tcPr>
            <w:tcW w:type="dxa" w:w="3216"/>
          </w:tcPr>
          <w:p>
            <w:r>
              <w:rPr>
                <w:sz w:val="17"/>
              </w:rPr>
              <w:t>Active comparator arm (D-08)</w:t>
            </w:r>
          </w:p>
        </w:tc>
        <w:tc>
          <w:tcPr>
            <w:tcW w:type="dxa" w:w="3216"/>
          </w:tcPr>
          <w:p>
            <w:r>
              <w:rPr>
                <w:sz w:val="17"/>
              </w:rPr>
              <w:t>Cost-critical</w:t>
            </w:r>
          </w:p>
        </w:tc>
        <w:tc>
          <w:tcPr>
            <w:tcW w:type="dxa" w:w="3216"/>
          </w:tcPr>
          <w:p>
            <w:r>
              <w:rPr>
                <w:sz w:val="17"/>
              </w:rPr>
              <w:t>Adds cost, supports market access rather than registration. Removable without regulatory consequence — and would weaken the payer position at launch.</w:t>
            </w:r>
          </w:p>
        </w:tc>
      </w:tr>
      <w:tr>
        <w:tc>
          <w:tcPr>
            <w:tcW w:type="dxa" w:w="3216"/>
          </w:tcPr>
          <w:p>
            <w:r>
              <w:rPr>
                <w:sz w:val="17"/>
              </w:rPr>
              <w:t>Cardiovascular sub-study (CR-02)</w:t>
            </w:r>
          </w:p>
        </w:tc>
        <w:tc>
          <w:tcPr>
            <w:tcW w:type="dxa" w:w="3216"/>
          </w:tcPr>
          <w:p>
            <w:r>
              <w:rPr>
                <w:sz w:val="17"/>
              </w:rPr>
              <w:t>Cost-critical</w:t>
            </w:r>
          </w:p>
        </w:tc>
        <w:tc>
          <w:tcPr>
            <w:tcW w:type="dxa" w:w="3216"/>
          </w:tcPr>
          <w:p>
            <w:r>
              <w:rPr>
                <w:sz w:val="17"/>
              </w:rPr>
              <w:t>$7,200,000 from contingency. Pre-empts a post-marketing requirement.</w:t>
            </w:r>
          </w:p>
        </w:tc>
      </w:tr>
    </w:tbl>
    <w:p/>
    <w:p>
      <w:pPr>
        <w:spacing w:before="120"/>
        <w:ind w:left="360"/>
      </w:pPr>
      <w:r>
        <w:rPr>
          <w:i/>
          <w:color w:val="12304A"/>
          <w:sz w:val="20"/>
        </w:rPr>
        <w:t>Why a program manager needs this table. Under enrolment pressure, the tempting moves are all in the first category: relax an exclusion, shorten the treatment period, drop an endpoint. Each would help the schedule and each would cost the filing. The moves that are genuinely available are in the second and third — more sites, faster activation, or a decision to spend more. Knowing which is which before the pressure arrives is most of the job.</w:t>
      </w:r>
    </w:p>
    <w:p>
      <w:pPr>
        <w:spacing w:before="320"/>
      </w:pPr>
      <w:r>
        <w:rPr>
          <w:b/>
          <w:color w:val="12304A"/>
          <w:sz w:val="28"/>
        </w:rPr>
        <w:t>8. Safety Oversight</w:t>
      </w:r>
    </w:p>
    <w:p>
      <w:r>
        <w:t>An independent Data Monitoring Committee reviews unblinded safety data on a every 16 weeks, and ad hoc on request of any member basis.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Member</w:t>
            </w:r>
          </w:p>
        </w:tc>
        <w:tc>
          <w:tcPr>
            <w:tcW w:type="dxa" w:w="3216"/>
          </w:tcPr>
          <w:p>
            <w:r>
              <w:rPr>
                <w:b/>
                <w:sz w:val="17"/>
              </w:rPr>
              <w:t>Discipline</w:t>
            </w:r>
          </w:p>
        </w:tc>
        <w:tc>
          <w:tcPr>
            <w:tcW w:type="dxa" w:w="3216"/>
          </w:tcPr>
          <w:p>
            <w:r>
              <w:rPr>
                <w:b/>
                <w:sz w:val="17"/>
              </w:rPr>
              <w:t>Blinding</w:t>
            </w:r>
          </w:p>
        </w:tc>
      </w:tr>
      <w:tr>
        <w:tc>
          <w:tcPr>
            <w:tcW w:type="dxa" w:w="3216"/>
          </w:tcPr>
          <w:p>
            <w:r>
              <w:rPr>
                <w:sz w:val="17"/>
              </w:rPr>
              <w:t>Prof. E. Vartanian</w:t>
            </w:r>
          </w:p>
        </w:tc>
        <w:tc>
          <w:tcPr>
            <w:tcW w:type="dxa" w:w="3216"/>
          </w:tcPr>
          <w:p>
            <w:r>
              <w:rPr>
                <w:sz w:val="17"/>
              </w:rPr>
              <w:t>Chair — endocrinology</w:t>
            </w:r>
          </w:p>
        </w:tc>
        <w:tc>
          <w:tcPr>
            <w:tcW w:type="dxa" w:w="3216"/>
          </w:tcPr>
          <w:p>
            <w:r>
              <w:rPr>
                <w:sz w:val="17"/>
              </w:rPr>
              <w:t>Independent</w:t>
            </w:r>
          </w:p>
        </w:tc>
      </w:tr>
      <w:tr>
        <w:tc>
          <w:tcPr>
            <w:tcW w:type="dxa" w:w="3216"/>
          </w:tcPr>
          <w:p>
            <w:r>
              <w:rPr>
                <w:sz w:val="17"/>
              </w:rPr>
              <w:t>Dr. L. Okafor</w:t>
            </w:r>
          </w:p>
        </w:tc>
        <w:tc>
          <w:tcPr>
            <w:tcW w:type="dxa" w:w="3216"/>
          </w:tcPr>
          <w:p>
            <w:r>
              <w:rPr>
                <w:sz w:val="17"/>
              </w:rPr>
              <w:t>Cardiology</w:t>
            </w:r>
          </w:p>
        </w:tc>
        <w:tc>
          <w:tcPr>
            <w:tcW w:type="dxa" w:w="3216"/>
          </w:tcPr>
          <w:p>
            <w:r>
              <w:rPr>
                <w:sz w:val="17"/>
              </w:rPr>
              <w:t>Independent</w:t>
            </w:r>
          </w:p>
        </w:tc>
      </w:tr>
      <w:tr>
        <w:tc>
          <w:tcPr>
            <w:tcW w:type="dxa" w:w="3216"/>
          </w:tcPr>
          <w:p>
            <w:r>
              <w:rPr>
                <w:sz w:val="17"/>
              </w:rPr>
              <w:t>Dr. S. Brennan-Hale</w:t>
            </w:r>
          </w:p>
        </w:tc>
        <w:tc>
          <w:tcPr>
            <w:tcW w:type="dxa" w:w="3216"/>
          </w:tcPr>
          <w:p>
            <w:r>
              <w:rPr>
                <w:sz w:val="17"/>
              </w:rPr>
              <w:t>Hepatology</w:t>
            </w:r>
          </w:p>
        </w:tc>
        <w:tc>
          <w:tcPr>
            <w:tcW w:type="dxa" w:w="3216"/>
          </w:tcPr>
          <w:p>
            <w:r>
              <w:rPr>
                <w:sz w:val="17"/>
              </w:rPr>
              <w:t>Independent</w:t>
            </w:r>
          </w:p>
        </w:tc>
      </w:tr>
      <w:tr>
        <w:tc>
          <w:tcPr>
            <w:tcW w:type="dxa" w:w="3216"/>
          </w:tcPr>
          <w:p>
            <w:r>
              <w:rPr>
                <w:sz w:val="17"/>
              </w:rPr>
              <w:t>Prof. M. Iwasaki</w:t>
            </w:r>
          </w:p>
        </w:tc>
        <w:tc>
          <w:tcPr>
            <w:tcW w:type="dxa" w:w="3216"/>
          </w:tcPr>
          <w:p>
            <w:r>
              <w:rPr>
                <w:sz w:val="17"/>
              </w:rPr>
              <w:t>Independent statistician</w:t>
            </w:r>
          </w:p>
        </w:tc>
        <w:tc>
          <w:tcPr>
            <w:tcW w:type="dxa" w:w="3216"/>
          </w:tcPr>
          <w:p>
            <w:r>
              <w:rPr>
                <w:sz w:val="17"/>
              </w:rPr>
              <w:t>Unblinded</w:t>
            </w:r>
          </w:p>
        </w:tc>
      </w:tr>
    </w:tbl>
    <w:p/>
    <w:p>
      <w:r>
        <w:t>Independent statistician only; sponsor personnel remain blinded. Recommendations to pause, modify or stop are binding on the sponsor (C-05).</w:t>
      </w:r>
    </w:p>
    <w:p>
      <w:pPr>
        <w:spacing w:before="120"/>
        <w:ind w:left="360"/>
      </w:pPr>
      <w:r>
        <w:rPr>
          <w:i/>
          <w:color w:val="12304A"/>
          <w:sz w:val="20"/>
        </w:rPr>
        <w:t>The boundary that matters. The Development Committee decides whether this program continues to be funded. The Data Monitoring Committee decides whether it is safe to continue dosing. The second is not a governance decision, is not appealable to the sponsor, and is not subject to any provision of the Development Committee Charter — which says so explicitly at its §9.</w:t>
      </w:r>
    </w:p>
    <w:p>
      <w:r>
        <w:t>Full composition, review procedures, stopping guidance and the communication protocol are in the Data Monitoring Committee Charter.</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