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AUTHORISING INSTRUMENT · CHARTERED AT GATE 4 · VITALIS THERAPEUTICS INC.</w:t>
      </w:r>
    </w:p>
    <w:p>
      <w:r>
        <w:rPr>
          <w:b/>
          <w:color w:val="12304A"/>
          <w:sz w:val="44"/>
        </w:rPr>
        <w:t>Program Charter</w:t>
      </w:r>
    </w:p>
    <w:p>
      <w:r>
        <w:rPr>
          <w:i/>
          <w:color w:val="6B7280"/>
          <w:sz w:val="17"/>
        </w:rPr>
        <w:t>Vitalis Therapeutics Inc. · VitaFlow (VTX-401) development program · Program Charter · status 15 October 2026. Fictional program created as a program management portfolio artifact.</w:t>
      </w:r>
    </w:p>
    <w:p/>
    <w:p>
      <w:r>
        <w:t>Vitalis Therapeutics Inc. — This charter formally establishes the VitaFlow (VTX-401) development program: its business case, scope, governance, funding ceiling and roster. It is chartered at the Gate 4 Phase 3 authorization of 30 June 2026 and speaks as at 15 October 2026. Detailed figures live in their owning documents and are cross-referenced rather than restated.</w:t>
      </w:r>
    </w:p>
    <w:p>
      <w:pPr>
        <w:spacing w:before="320"/>
      </w:pPr>
      <w:r>
        <w:rPr>
          <w:b/>
          <w:color w:val="12304A"/>
          <w:sz w:val="28"/>
        </w:rPr>
        <w:t>1. Charter Authorization &amp; Purpose</w:t>
      </w:r>
    </w:p>
    <w:p>
      <w:r>
        <w:t>This charter establishes the VitaFlow (VTX-401) development program at Vitalis Therapeutics Inc.. It is chartered at the 30 June 2026 Gate 4 decision — the authorization to initiate Phase 3 and the release of the $125,800,000 Stage 4 tranche, the largest single authorization in the program and the last before the New Drug Application.</w:t>
      </w:r>
    </w:p>
    <w:p>
      <w:r>
        <w:t>Gate 4 is the correct anchor for a charter rather than Gate 0 or Gate 1, because a development program is not meaningfully chartered while the molecule may still fail for reasons no amount of program management can address. Before Phase 2 read-out, what exists is a funded option. At Gate 4 the option was exercised: the dose is selected, the pivotal design is agreed with the agency, and the organization has committed the capital that makes a filing possible. This document records what was authorized at that moment and under what conditions.</w:t>
      </w:r>
    </w:p>
    <w:p>
      <w:pPr>
        <w:spacing w:before="120"/>
        <w:ind w:left="360"/>
      </w:pPr>
      <w:r>
        <w:rPr>
          <w:i/>
          <w:color w:val="12304A"/>
          <w:sz w:val="20"/>
        </w:rPr>
        <w:t>Point-in-time. This charter speaks as at the status date of 15 October 2026, with the program inside Stage 4 and Gate 5 pending. Figures reported as actuals are actuals to that date; everything beyond Gate 5 is plan. The suite does not retro-fit later knowledge into earlier documents.</w:t>
      </w:r>
    </w:p>
    <w:p>
      <w:pPr>
        <w:spacing w:before="320"/>
      </w:pPr>
      <w:r>
        <w:rPr>
          <w:b/>
          <w:color w:val="12304A"/>
          <w:sz w:val="28"/>
        </w:rPr>
        <w:t>2. Business Case &amp; Strategic Context</w:t>
      </w:r>
    </w:p>
    <w:p>
      <w:r>
        <w:t>Chronic weight management is a therapeutic area where the standard of care moved decisively within a single product cycle, and where the constraint on uptake is now less clinical efficacy than tolerability, supply and payer coverage. VitaFlow is positioned against that constraint: the program's differentiation thesis is tolerability at an efficacious dose, not a larger magnitude of weight reduction.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Business case parameter</w:t>
            </w:r>
          </w:p>
        </w:tc>
        <w:tc>
          <w:tcPr>
            <w:tcW w:type="dxa" w:w="4824"/>
          </w:tcPr>
          <w:p>
            <w:r>
              <w:rPr>
                <w:b/>
                <w:sz w:val="17"/>
              </w:rPr>
              <w:t>Gate 4 basis</w:t>
            </w:r>
          </w:p>
        </w:tc>
      </w:tr>
      <w:tr>
        <w:tc>
          <w:tcPr>
            <w:tcW w:type="dxa" w:w="4824"/>
          </w:tcPr>
          <w:p>
            <w:r>
              <w:rPr>
                <w:sz w:val="17"/>
              </w:rPr>
              <w:t>Eligible United States population</w:t>
            </w:r>
          </w:p>
        </w:tc>
        <w:tc>
          <w:tcPr>
            <w:tcW w:type="dxa" w:w="4824"/>
          </w:tcPr>
          <w:p>
            <w:r>
              <w:rPr>
                <w:sz w:val="17"/>
              </w:rPr>
              <w:t>41,000,000 adults meeting label criteria</w:t>
            </w:r>
          </w:p>
        </w:tc>
      </w:tr>
      <w:tr>
        <w:tc>
          <w:tcPr>
            <w:tcW w:type="dxa" w:w="4824"/>
          </w:tcPr>
          <w:p>
            <w:r>
              <w:rPr>
                <w:sz w:val="17"/>
              </w:rPr>
              <w:t>Treated-market share, year 5</w:t>
            </w:r>
          </w:p>
        </w:tc>
        <w:tc>
          <w:tcPr>
            <w:tcW w:type="dxa" w:w="4824"/>
          </w:tcPr>
          <w:p>
            <w:r>
              <w:rPr>
                <w:sz w:val="17"/>
              </w:rPr>
              <w:t>8%</w:t>
            </w:r>
          </w:p>
        </w:tc>
      </w:tr>
      <w:tr>
        <w:tc>
          <w:tcPr>
            <w:tcW w:type="dxa" w:w="4824"/>
          </w:tcPr>
          <w:p>
            <w:r>
              <w:rPr>
                <w:sz w:val="17"/>
              </w:rPr>
              <w:t>Net price per patient year</w:t>
            </w:r>
          </w:p>
        </w:tc>
        <w:tc>
          <w:tcPr>
            <w:tcW w:type="dxa" w:w="4824"/>
          </w:tcPr>
          <w:p>
            <w:r>
              <w:rPr>
                <w:sz w:val="17"/>
              </w:rPr>
              <w:t>$12,500 (net of gross-to-net)</w:t>
            </w:r>
          </w:p>
        </w:tc>
      </w:tr>
      <w:tr>
        <w:tc>
          <w:tcPr>
            <w:tcW w:type="dxa" w:w="4824"/>
          </w:tcPr>
          <w:p>
            <w:r>
              <w:rPr>
                <w:sz w:val="17"/>
              </w:rPr>
              <w:t>Peak annual net revenue</w:t>
            </w:r>
          </w:p>
        </w:tc>
        <w:tc>
          <w:tcPr>
            <w:tcW w:type="dxa" w:w="4824"/>
          </w:tcPr>
          <w:p>
            <w:r>
              <w:rPr>
                <w:sz w:val="17"/>
              </w:rPr>
              <w:t>$1,640,000,000</w:t>
            </w:r>
          </w:p>
        </w:tc>
      </w:tr>
      <w:tr>
        <w:tc>
          <w:tcPr>
            <w:tcW w:type="dxa" w:w="4824"/>
          </w:tcPr>
          <w:p>
            <w:r>
              <w:rPr>
                <w:sz w:val="17"/>
              </w:rPr>
              <w:t>Net present value, unadjusted</w:t>
            </w:r>
          </w:p>
        </w:tc>
        <w:tc>
          <w:tcPr>
            <w:tcW w:type="dxa" w:w="4824"/>
          </w:tcPr>
          <w:p>
            <w:r>
              <w:rPr>
                <w:sz w:val="17"/>
              </w:rPr>
              <w:t>$1,362,000,000 at 10%, ten-year horizon</w:t>
            </w:r>
          </w:p>
        </w:tc>
      </w:tr>
      <w:tr>
        <w:tc>
          <w:tcPr>
            <w:tcW w:type="dxa" w:w="4824"/>
          </w:tcPr>
          <w:p>
            <w:r>
              <w:rPr>
                <w:sz w:val="17"/>
              </w:rPr>
              <w:t>Internal rate of return</w:t>
            </w:r>
          </w:p>
        </w:tc>
        <w:tc>
          <w:tcPr>
            <w:tcW w:type="dxa" w:w="4824"/>
          </w:tcPr>
          <w:p>
            <w:r>
              <w:rPr>
                <w:sz w:val="17"/>
              </w:rPr>
              <w:t>43.6% against a 15.0% hurdle</w:t>
            </w:r>
          </w:p>
        </w:tc>
      </w:tr>
      <w:tr>
        <w:tc>
          <w:tcPr>
            <w:tcW w:type="dxa" w:w="4824"/>
          </w:tcPr>
          <w:p>
            <w:r>
              <w:rPr>
                <w:sz w:val="17"/>
              </w:rPr>
              <w:t>Payback</w:t>
            </w:r>
          </w:p>
        </w:tc>
        <w:tc>
          <w:tcPr>
            <w:tcW w:type="dxa" w:w="4824"/>
          </w:tcPr>
          <w:p>
            <w:r>
              <w:rPr>
                <w:sz w:val="17"/>
              </w:rPr>
              <w:t>3.5 years post-launch</w:t>
            </w:r>
          </w:p>
        </w:tc>
      </w:tr>
    </w:tbl>
    <w:p/>
    <w:p>
      <w:pPr>
        <w:spacing w:before="120"/>
        <w:ind w:left="360"/>
      </w:pPr>
      <w:r>
        <w:rPr>
          <w:i/>
          <w:color w:val="12304A"/>
          <w:sz w:val="20"/>
        </w:rPr>
        <w:t>On risk adjustment — and why the headline figures are not the decision numbers. The $1,362,000,000 net present value and 44% internal rate of return above are success-case figures — what the asset is worth conditional on approval. A 44% return is not a claim that this is a 44% investment.</w:t>
      </w:r>
    </w:p>
    <w:p>
      <w:pPr>
        <w:spacing w:before="120"/>
        <w:ind w:left="360"/>
      </w:pPr>
      <w:r>
        <w:rPr>
          <w:i/>
          <w:color w:val="12304A"/>
          <w:sz w:val="20"/>
        </w:rPr>
        <w:t>Probability of technical and regulatory success compounds: 47% × 30% × 50% = 7.0% from first-in-human, so the risk-weighted value moves as conditionals resolve.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Standing at</w:t>
            </w:r>
          </w:p>
        </w:tc>
        <w:tc>
          <w:tcPr>
            <w:tcW w:type="dxa" w:w="3216"/>
          </w:tcPr>
          <w:p>
            <w:r>
              <w:rPr>
                <w:b/>
                <w:sz w:val="17"/>
              </w:rPr>
              <w:t>Unresolved conditionals</w:t>
            </w:r>
          </w:p>
        </w:tc>
        <w:tc>
          <w:tcPr>
            <w:tcW w:type="dxa" w:w="3216"/>
          </w:tcPr>
          <w:p>
            <w:r>
              <w:rPr>
                <w:b/>
                <w:sz w:val="17"/>
              </w:rPr>
              <w:t>Risk-adjusted NPV</w:t>
            </w:r>
          </w:p>
        </w:tc>
      </w:tr>
      <w:tr>
        <w:tc>
          <w:tcPr>
            <w:tcW w:type="dxa" w:w="3216"/>
          </w:tcPr>
          <w:p>
            <w:r>
              <w:rPr>
                <w:sz w:val="17"/>
              </w:rPr>
              <w:t>Gate 0</w:t>
            </w:r>
          </w:p>
        </w:tc>
        <w:tc>
          <w:tcPr>
            <w:tcW w:type="dxa" w:w="3216"/>
          </w:tcPr>
          <w:p>
            <w:r>
              <w:rPr>
                <w:sz w:val="17"/>
              </w:rPr>
              <w:t>All three</w:t>
            </w:r>
          </w:p>
        </w:tc>
        <w:tc>
          <w:tcPr>
            <w:tcW w:type="dxa" w:w="3216"/>
          </w:tcPr>
          <w:p>
            <w:r>
              <w:rPr>
                <w:sz w:val="17"/>
              </w:rPr>
              <w:t>$96.0M</w:t>
            </w:r>
          </w:p>
        </w:tc>
      </w:tr>
      <w:tr>
        <w:tc>
          <w:tcPr>
            <w:tcW w:type="dxa" w:w="3216"/>
          </w:tcPr>
          <w:p>
            <w:r>
              <w:rPr>
                <w:sz w:val="17"/>
              </w:rPr>
              <w:t>Gate 3</w:t>
            </w:r>
          </w:p>
        </w:tc>
        <w:tc>
          <w:tcPr>
            <w:tcW w:type="dxa" w:w="3216"/>
          </w:tcPr>
          <w:p>
            <w:r>
              <w:rPr>
                <w:sz w:val="17"/>
              </w:rPr>
              <w:t>Phase 2 and Phase 3</w:t>
            </w:r>
          </w:p>
        </w:tc>
        <w:tc>
          <w:tcPr>
            <w:tcW w:type="dxa" w:w="3216"/>
          </w:tcPr>
          <w:p>
            <w:r>
              <w:rPr>
                <w:sz w:val="17"/>
              </w:rPr>
              <w:t>$204.3M</w:t>
            </w:r>
          </w:p>
        </w:tc>
      </w:tr>
      <w:tr>
        <w:tc>
          <w:tcPr>
            <w:tcW w:type="dxa" w:w="3216"/>
          </w:tcPr>
          <w:p>
            <w:r>
              <w:rPr>
                <w:sz w:val="17"/>
              </w:rPr>
              <w:t>Gate 4 — this charter's anchor</w:t>
            </w:r>
          </w:p>
        </w:tc>
        <w:tc>
          <w:tcPr>
            <w:tcW w:type="dxa" w:w="3216"/>
          </w:tcPr>
          <w:p>
            <w:r>
              <w:rPr>
                <w:sz w:val="17"/>
              </w:rPr>
              <w:t>Phase 3 only</w:t>
            </w:r>
          </w:p>
        </w:tc>
        <w:tc>
          <w:tcPr>
            <w:tcW w:type="dxa" w:w="3216"/>
          </w:tcPr>
          <w:p>
            <w:r>
              <w:rPr>
                <w:sz w:val="17"/>
              </w:rPr>
              <w:t>$681.0M</w:t>
            </w:r>
          </w:p>
        </w:tc>
      </w:tr>
      <w:tr>
        <w:tc>
          <w:tcPr>
            <w:tcW w:type="dxa" w:w="3216"/>
          </w:tcPr>
          <w:p>
            <w:r>
              <w:rPr>
                <w:sz w:val="17"/>
              </w:rPr>
              <w:t>Gate 5</w:t>
            </w:r>
          </w:p>
        </w:tc>
        <w:tc>
          <w:tcPr>
            <w:tcW w:type="dxa" w:w="3216"/>
          </w:tcPr>
          <w:p>
            <w:r>
              <w:rPr>
                <w:sz w:val="17"/>
              </w:rPr>
              <w:t>Filing to approval only</w:t>
            </w:r>
          </w:p>
        </w:tc>
        <w:tc>
          <w:tcPr>
            <w:tcW w:type="dxa" w:w="3216"/>
          </w:tcPr>
          <w:p>
            <w:r>
              <w:rPr>
                <w:sz w:val="17"/>
              </w:rPr>
              <w:t>$1,253.1M</w:t>
            </w:r>
          </w:p>
        </w:tc>
      </w:tr>
    </w:tbl>
    <w:p/>
    <w:p>
      <w:pPr>
        <w:spacing w:before="120"/>
        <w:ind w:left="360"/>
      </w:pPr>
      <w:r>
        <w:rPr>
          <w:i/>
          <w:color w:val="12304A"/>
          <w:sz w:val="20"/>
        </w:rPr>
        <w:t>The inequality that justifies stage-gate funding. At Gate 0 the expected value of this program was $96.0M. The authorized cost of finding out was $243,040,000.</w:t>
      </w:r>
    </w:p>
    <w:p>
      <w:pPr>
        <w:spacing w:before="120"/>
        <w:ind w:left="360"/>
      </w:pPr>
      <w:r>
        <w:rPr>
          <w:i/>
          <w:color w:val="12304A"/>
          <w:sz w:val="20"/>
        </w:rPr>
        <w:t>The expected value was less than the cost. No rational sponsor commits a full budget against that arithmetic — and that, rather than any governance preference, is why funding is released one stage at a time. Each gate that resolves a conditional raises the expected value; by Gate 4 it stands at $681.0M against $141,600,000 of remaining authorization. The funding follows the information rather than preceding it.</w:t>
      </w:r>
    </w:p>
    <w:p>
      <w:pPr>
        <w:spacing w:before="120"/>
        <w:ind w:left="360"/>
      </w:pPr>
      <w:r>
        <w:rPr>
          <w:i/>
          <w:color w:val="12304A"/>
          <w:sz w:val="20"/>
        </w:rPr>
        <w:t>Reporting the Gate 0 figure at Gate 4 understates the asset by everything already de-risked; reporting the success case at Gate 0 overstates it by a factor of 14. Both errors are common, which is why this charter records which convention applies at which gate. All figures derive from pharma_model.py, which aborts if it cannot reproduce them.</w:t>
      </w:r>
    </w:p>
    <w:p>
      <w:pPr>
        <w:spacing w:before="320"/>
      </w:pPr>
      <w:r>
        <w:rPr>
          <w:b/>
          <w:color w:val="12304A"/>
          <w:sz w:val="28"/>
        </w:rPr>
        <w:t>3. Program Vision &amp; Product Description</w:t>
      </w:r>
    </w:p>
    <w:p>
      <w:r>
        <w:t>The program develops, files and launches VitaFlow (VTX-401): a long-acting GLP-1 receptor agonist administered as a once-weekly subcutaneous injection from a single-use prefilled pen, indicated for chronic weight management in adults with a body mass index of 30 or above, or 27 or above with at least one weight-related comorbidity.</w:t>
      </w:r>
    </w:p>
    <w:p>
      <w:r>
        <w:t>The molecule is a new molecular entity. It is filed under 505(b)(1) New Drug Application — new molecular entity — Decision D-01 — because no listed drug is suitable to reference; a 505(b)(2) route was assessed at Gate 1 and closed. That single decision determines the shape of the entire development program: a full nonclinical package, a complete clinical program from first-in-human, and a self-contained CMC dossier, with nothing carried across from an originator's file.</w:t>
      </w:r>
    </w:p>
    <w:p>
      <w:r>
        <w:t>Formulation scope is deliberately narrow. An oral formulation is out of scope at launch (Decision D-02): the bioavailability work would add an estimated eighteen months and a second CMC program for a segment the launch case does not require. Geographic scope is similarly narrow — United States first, with a European filing deferred to Year 4 or beyond (Decision D-03), avoiding parallel scientific advice and a second dossier during the Phase 3 window.</w:t>
      </w:r>
    </w:p>
    <w:p>
      <w:r>
        <w:t>Class labeling for thyroid C-cell tumors will be carried consistent with approved products in the class, and no Risk Evaluation and Mitigation Strategy is proposed at filing (Decision D-07). The safety database does not support a REMS, and volunteering one would impose a commercial disadvantage the evidence does not require.</w:t>
      </w:r>
    </w:p>
    <w:p>
      <w:pPr>
        <w:spacing w:before="320"/>
      </w:pPr>
      <w:r>
        <w:rPr>
          <w:b/>
          <w:color w:val="12304A"/>
          <w:sz w:val="28"/>
        </w:rPr>
        <w:t>4. Objectives &amp; Success Criteria</w:t>
      </w:r>
    </w:p>
    <w:p>
      <w:pPr>
        <w:pStyle w:val="ListBullet"/>
      </w:pPr>
      <w:r>
        <w:t>Meet the co-primary endpoints agreed at the End-of-Phase-2 meeting across both pivotal trials — percent change in body weight and the proportion of participants achieving at least a five percent reduction.</w:t>
      </w:r>
    </w:p>
    <w:p>
      <w:pPr>
        <w:pStyle w:val="ListBullet"/>
      </w:pPr>
      <w:r>
        <w:t>Demonstrate the tolerability thesis. Discontinuation attributable to gastrointestinal adverse events is a monitored endpoint, not a footnote; the differentiation claim stands or falls on it.</w:t>
      </w:r>
    </w:p>
    <w:p>
      <w:pPr>
        <w:pStyle w:val="ListBullet"/>
      </w:pPr>
      <w:r>
        <w:t>Submit the NDA by 30 September 2028 with registration batches manufactured, on stability, and process validation complete — a filing date is a manufacturing date as much as a clinical one.</w:t>
      </w:r>
    </w:p>
    <w:p>
      <w:pPr>
        <w:pStyle w:val="ListBullet"/>
      </w:pPr>
      <w:r>
        <w:t>Secure approval at the 11 October 2029 action date under a standard review clock, with no assumption of priority review or breakthrough designation (Assumption A-02).</w:t>
      </w:r>
    </w:p>
    <w:p>
      <w:pPr>
        <w:pStyle w:val="ListBullet"/>
      </w:pPr>
      <w:r>
        <w:t>Clear the 15.0% hurdle on the business case as re-tested at each remaining gate on refreshed assumptions, not on the Gate 4 set.</w:t>
      </w:r>
    </w:p>
    <w:p>
      <w:pPr>
        <w:pStyle w:val="ListBullet"/>
      </w:pPr>
      <w:r>
        <w:t>Close every Gate 4 condition against the evidence standard recorded when it was issued, rather than one renegotiated at closure.</w:t>
      </w:r>
    </w:p>
    <w:p>
      <w:pPr>
        <w:pStyle w:val="ListBullet"/>
      </w:pPr>
      <w:r>
        <w:t>Reach first commercial shipment on 01 November 2029 with launch supply, payer evidence and field readiness demonstrated at Gate 6 rather than asserted.</w:t>
      </w:r>
    </w:p>
    <w:p>
      <w:pPr>
        <w:spacing w:before="320"/>
      </w:pPr>
      <w:r>
        <w:rPr>
          <w:b/>
          <w:color w:val="12304A"/>
          <w:sz w:val="28"/>
        </w:rPr>
        <w:t>5. Program Scope</w:t>
      </w:r>
    </w:p>
    <w:p>
      <w:pPr>
        <w:spacing w:before="160"/>
      </w:pPr>
      <w:r>
        <w:rPr>
          <w:b/>
          <w:color w:val="12304A"/>
          <w:sz w:val="21"/>
        </w:rPr>
        <w:t>In scope</w:t>
      </w:r>
    </w:p>
    <w:p>
      <w:pPr>
        <w:pStyle w:val="ListBullet"/>
      </w:pPr>
      <w:r>
        <w:t>Completion of the Phase 3 program — two pivotal trials and the cardiovascular outcomes sub-study added under CR-02.</w:t>
      </w:r>
    </w:p>
    <w:p>
      <w:pPr>
        <w:pStyle w:val="ListBullet"/>
      </w:pPr>
      <w:r>
        <w:t>Pharmacovigilance and safety reporting across the development program, including expedited reporting obligations that sit outside program governance (C-04).</w:t>
      </w:r>
    </w:p>
    <w:p>
      <w:pPr>
        <w:pStyle w:val="ListBullet"/>
      </w:pPr>
      <w:r>
        <w:t>CMC scale-up, registration-batch manufacture, process validation and ICH stability at Aldergate Biologics.</w:t>
      </w:r>
    </w:p>
    <w:p>
      <w:pPr>
        <w:pStyle w:val="ListBullet"/>
      </w:pPr>
      <w:r>
        <w:t>NDA assembly, submission and review support, including responses to information requests through the review cycle.</w:t>
      </w:r>
    </w:p>
    <w:p>
      <w:pPr>
        <w:pStyle w:val="ListBullet"/>
      </w:pPr>
      <w:r>
        <w:t>Market access evidence generation, payer advisory boards and launch pricing strategy.</w:t>
      </w:r>
    </w:p>
    <w:p>
      <w:pPr>
        <w:pStyle w:val="ListBullet"/>
      </w:pPr>
      <w:r>
        <w:t>Launch readiness across supply, distribution, field medical and commercial operations.</w:t>
      </w:r>
    </w:p>
    <w:p>
      <w:pPr>
        <w:spacing w:before="160"/>
      </w:pPr>
      <w:r>
        <w:rPr>
          <w:b/>
          <w:color w:val="12304A"/>
          <w:sz w:val="21"/>
        </w:rPr>
        <w:t>Explicitly out of scope</w:t>
      </w:r>
    </w:p>
    <w:p>
      <w:pPr>
        <w:pStyle w:val="ListBullet"/>
      </w:pPr>
      <w:r>
        <w:t>Oral formulation development (Decision D-02) — deferred, not abandoned.</w:t>
      </w:r>
    </w:p>
    <w:p>
      <w:pPr>
        <w:pStyle w:val="ListBullet"/>
      </w:pPr>
      <w:r>
        <w:t>European and Asia-Pacific marketing applications (Decision D-03) — the Phase 2 Asian cohort added under CR-01 supports a later filing but does not constitute one.</w:t>
      </w:r>
    </w:p>
    <w:p>
      <w:pPr>
        <w:pStyle w:val="ListBullet"/>
      </w:pPr>
      <w:r>
        <w:t>Additional indications — cardiovascular risk reduction, sleep apnoea and adolescent populations are lifecycle candidates and carry no budget or resource in this program.</w:t>
      </w:r>
    </w:p>
    <w:p>
      <w:pPr>
        <w:pStyle w:val="ListBullet"/>
      </w:pPr>
      <w:r>
        <w:t>Internal trial operations capability (Decision D-04) — Phase 3 execution is contracted to Meridian Clinical Research.</w:t>
      </w:r>
    </w:p>
    <w:p>
      <w:pPr>
        <w:pStyle w:val="ListBullet"/>
      </w:pPr>
      <w:r>
        <w:t>A Risk Evaluation and Mitigation Strategy at filing (Decision D-07).</w:t>
      </w:r>
    </w:p>
    <w:p>
      <w:pPr>
        <w:pStyle w:val="ListBullet"/>
      </w:pPr>
      <w:r>
        <w:t>Post-approval commitments not yet negotiated with the agency — these are scoped after the action date, not before it.</w:t>
      </w:r>
    </w:p>
    <w:p>
      <w:pPr>
        <w:spacing w:before="320"/>
      </w:pPr>
      <w:r>
        <w:rPr>
          <w:b/>
          <w:color w:val="12304A"/>
          <w:sz w:val="28"/>
        </w:rPr>
        <w:t>6. Stage-Gate Structure &amp; Gate Calendar</w:t>
      </w:r>
    </w:p>
    <w:p>
      <w:r>
        <w:t>Seven gates, each releasing the funding for the stage that follows it and no further. The gate structure maps deliberately onto the regulatory pathway rather than onto a generic project lifecycle — the agency's decision points are the program's decision points, because they are where genuinely new information arrives.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Gate</w:t>
            </w:r>
          </w:p>
        </w:tc>
        <w:tc>
          <w:tcPr>
            <w:tcW w:type="dxa" w:w="2412"/>
          </w:tcPr>
          <w:p>
            <w:r>
              <w:rPr>
                <w:b/>
                <w:sz w:val="17"/>
              </w:rPr>
              <w:t>Date</w:t>
            </w:r>
          </w:p>
        </w:tc>
        <w:tc>
          <w:tcPr>
            <w:tcW w:type="dxa" w:w="2412"/>
          </w:tcPr>
          <w:p>
            <w:r>
              <w:rPr>
                <w:b/>
                <w:sz w:val="17"/>
              </w:rPr>
              <w:t>Releases</w:t>
            </w:r>
          </w:p>
        </w:tc>
        <w:tc>
          <w:tcPr>
            <w:tcW w:type="dxa" w:w="2412"/>
          </w:tcPr>
          <w:p>
            <w:r>
              <w:rPr>
                <w:b/>
                <w:sz w:val="17"/>
              </w:rPr>
              <w:t>Outcome</w:t>
            </w:r>
          </w:p>
        </w:tc>
      </w:tr>
      <w:tr>
        <w:tc>
          <w:tcPr>
            <w:tcW w:type="dxa" w:w="2412"/>
          </w:tcPr>
          <w:p>
            <w:r>
              <w:rPr>
                <w:sz w:val="17"/>
              </w:rPr>
              <w:t>Gate 0 — Candidate Selection</w:t>
            </w:r>
          </w:p>
        </w:tc>
        <w:tc>
          <w:tcPr>
            <w:tcW w:type="dxa" w:w="2412"/>
          </w:tcPr>
          <w:p>
            <w:r>
              <w:rPr>
                <w:sz w:val="17"/>
              </w:rPr>
              <w:t>01 Mar 2022</w:t>
            </w:r>
          </w:p>
        </w:tc>
        <w:tc>
          <w:tcPr>
            <w:tcW w:type="dxa" w:w="2412"/>
          </w:tcPr>
          <w:p>
            <w:r>
              <w:rPr>
                <w:sz w:val="17"/>
              </w:rPr>
              <w:t>$17,400,000</w:t>
            </w:r>
          </w:p>
        </w:tc>
        <w:tc>
          <w:tcPr>
            <w:tcW w:type="dxa" w:w="2412"/>
          </w:tcPr>
          <w:p>
            <w:r>
              <w:rPr>
                <w:sz w:val="17"/>
              </w:rPr>
              <w:t>GO (6-0)</w:t>
            </w:r>
          </w:p>
        </w:tc>
      </w:tr>
      <w:tr>
        <w:tc>
          <w:tcPr>
            <w:tcW w:type="dxa" w:w="2412"/>
          </w:tcPr>
          <w:p>
            <w:r>
              <w:rPr>
                <w:sz w:val="17"/>
              </w:rPr>
              <w:t>Gate 1 — IND-Enabling Readiness</w:t>
            </w:r>
          </w:p>
        </w:tc>
        <w:tc>
          <w:tcPr>
            <w:tcW w:type="dxa" w:w="2412"/>
          </w:tcPr>
          <w:p>
            <w:r>
              <w:rPr>
                <w:sz w:val="17"/>
              </w:rPr>
              <w:t>31 Dec 2022</w:t>
            </w:r>
          </w:p>
        </w:tc>
        <w:tc>
          <w:tcPr>
            <w:tcW w:type="dxa" w:w="2412"/>
          </w:tcPr>
          <w:p>
            <w:r>
              <w:rPr>
                <w:sz w:val="17"/>
              </w:rPr>
              <w:t>$16,200,000</w:t>
            </w:r>
          </w:p>
        </w:tc>
        <w:tc>
          <w:tcPr>
            <w:tcW w:type="dxa" w:w="2412"/>
          </w:tcPr>
          <w:p>
            <w:r>
              <w:rPr>
                <w:sz w:val="17"/>
              </w:rPr>
              <w:t>GO (5-1)</w:t>
            </w:r>
          </w:p>
        </w:tc>
      </w:tr>
      <w:tr>
        <w:tc>
          <w:tcPr>
            <w:tcW w:type="dxa" w:w="2412"/>
          </w:tcPr>
          <w:p>
            <w:r>
              <w:rPr>
                <w:sz w:val="17"/>
              </w:rPr>
              <w:t>Gate 2 — IND Submission</w:t>
            </w:r>
          </w:p>
        </w:tc>
        <w:tc>
          <w:tcPr>
            <w:tcW w:type="dxa" w:w="2412"/>
          </w:tcPr>
          <w:p>
            <w:r>
              <w:rPr>
                <w:sz w:val="17"/>
              </w:rPr>
              <w:t>30 Jun 2023</w:t>
            </w:r>
          </w:p>
        </w:tc>
        <w:tc>
          <w:tcPr>
            <w:tcW w:type="dxa" w:w="2412"/>
          </w:tcPr>
          <w:p>
            <w:r>
              <w:rPr>
                <w:sz w:val="17"/>
              </w:rPr>
              <w:t>No new tranche — submission gate</w:t>
            </w:r>
          </w:p>
        </w:tc>
        <w:tc>
          <w:tcPr>
            <w:tcW w:type="dxa" w:w="2412"/>
          </w:tcPr>
          <w:p>
            <w:r>
              <w:rPr>
                <w:sz w:val="17"/>
              </w:rPr>
              <w:t>GO (6-0)</w:t>
            </w:r>
          </w:p>
        </w:tc>
      </w:tr>
      <w:tr>
        <w:tc>
          <w:tcPr>
            <w:tcW w:type="dxa" w:w="2412"/>
          </w:tcPr>
          <w:p>
            <w:r>
              <w:rPr>
                <w:sz w:val="17"/>
              </w:rPr>
              <w:t>Gate 3 — Phase 2 Readiness</w:t>
            </w:r>
          </w:p>
        </w:tc>
        <w:tc>
          <w:tcPr>
            <w:tcW w:type="dxa" w:w="2412"/>
          </w:tcPr>
          <w:p>
            <w:r>
              <w:rPr>
                <w:sz w:val="17"/>
              </w:rPr>
              <w:t>31 May 2024</w:t>
            </w:r>
          </w:p>
        </w:tc>
        <w:tc>
          <w:tcPr>
            <w:tcW w:type="dxa" w:w="2412"/>
          </w:tcPr>
          <w:p>
            <w:r>
              <w:rPr>
                <w:sz w:val="17"/>
              </w:rPr>
              <w:t>$41,800,000</w:t>
            </w:r>
          </w:p>
        </w:tc>
        <w:tc>
          <w:tcPr>
            <w:tcW w:type="dxa" w:w="2412"/>
          </w:tcPr>
          <w:p>
            <w:r>
              <w:rPr>
                <w:sz w:val="17"/>
              </w:rPr>
              <w:t>GO (6-0)</w:t>
            </w:r>
          </w:p>
        </w:tc>
      </w:tr>
      <w:tr>
        <w:tc>
          <w:tcPr>
            <w:tcW w:type="dxa" w:w="2412"/>
          </w:tcPr>
          <w:p>
            <w:r>
              <w:rPr>
                <w:sz w:val="17"/>
              </w:rPr>
              <w:t>Gate 4 — Phase 3 Initiation</w:t>
            </w:r>
          </w:p>
        </w:tc>
        <w:tc>
          <w:tcPr>
            <w:tcW w:type="dxa" w:w="2412"/>
          </w:tcPr>
          <w:p>
            <w:r>
              <w:rPr>
                <w:sz w:val="17"/>
              </w:rPr>
              <w:t>30 Jun 2026</w:t>
            </w:r>
          </w:p>
        </w:tc>
        <w:tc>
          <w:tcPr>
            <w:tcW w:type="dxa" w:w="2412"/>
          </w:tcPr>
          <w:p>
            <w:r>
              <w:rPr>
                <w:sz w:val="17"/>
              </w:rPr>
              <w:t>$125,800,000</w:t>
            </w:r>
          </w:p>
        </w:tc>
        <w:tc>
          <w:tcPr>
            <w:tcW w:type="dxa" w:w="2412"/>
          </w:tcPr>
          <w:p>
            <w:r>
              <w:rPr>
                <w:sz w:val="17"/>
              </w:rPr>
              <w:t>GO WITH CONDITIONS (5-0-1)</w:t>
            </w:r>
          </w:p>
        </w:tc>
      </w:tr>
      <w:tr>
        <w:tc>
          <w:tcPr>
            <w:tcW w:type="dxa" w:w="2412"/>
          </w:tcPr>
          <w:p>
            <w:r>
              <w:rPr>
                <w:sz w:val="17"/>
              </w:rPr>
              <w:t>Gate 5 — NDA Submission</w:t>
            </w:r>
          </w:p>
        </w:tc>
        <w:tc>
          <w:tcPr>
            <w:tcW w:type="dxa" w:w="2412"/>
          </w:tcPr>
          <w:p>
            <w:r>
              <w:rPr>
                <w:sz w:val="17"/>
              </w:rPr>
              <w:t>30 Sep 2028</w:t>
            </w:r>
          </w:p>
        </w:tc>
        <w:tc>
          <w:tcPr>
            <w:tcW w:type="dxa" w:w="2412"/>
          </w:tcPr>
          <w:p>
            <w:r>
              <w:rPr>
                <w:sz w:val="17"/>
              </w:rPr>
              <w:t>$15,800,000</w:t>
            </w:r>
          </w:p>
        </w:tc>
        <w:tc>
          <w:tcPr>
            <w:tcW w:type="dxa" w:w="2412"/>
          </w:tcPr>
          <w:p>
            <w:r>
              <w:rPr>
                <w:sz w:val="17"/>
              </w:rPr>
              <w:t>pending</w:t>
            </w:r>
          </w:p>
        </w:tc>
      </w:tr>
      <w:tr>
        <w:tc>
          <w:tcPr>
            <w:tcW w:type="dxa" w:w="2412"/>
          </w:tcPr>
          <w:p>
            <w:r>
              <w:rPr>
                <w:sz w:val="17"/>
              </w:rPr>
              <w:t>Gate 6 — Approval &amp; Launch</w:t>
            </w:r>
          </w:p>
        </w:tc>
        <w:tc>
          <w:tcPr>
            <w:tcW w:type="dxa" w:w="2412"/>
          </w:tcPr>
          <w:p>
            <w:r>
              <w:rPr>
                <w:sz w:val="17"/>
              </w:rPr>
              <w:t>11 Oct 2029</w:t>
            </w:r>
          </w:p>
        </w:tc>
        <w:tc>
          <w:tcPr>
            <w:tcW w:type="dxa" w:w="2412"/>
          </w:tcPr>
          <w:p>
            <w:r>
              <w:rPr>
                <w:sz w:val="17"/>
              </w:rPr>
              <w:t>No new tranche — authorizes launch</w:t>
            </w:r>
          </w:p>
        </w:tc>
        <w:tc>
          <w:tcPr>
            <w:tcW w:type="dxa" w:w="2412"/>
          </w:tcPr>
          <w:p>
            <w:r>
              <w:rPr>
                <w:sz w:val="17"/>
              </w:rPr>
              <w:t>pending</w:t>
            </w:r>
          </w:p>
        </w:tc>
      </w:tr>
    </w:tbl>
    <w:p/>
    <w:p>
      <w:r>
        <w:t>Full gate mechanics, the must-meet and should-meet criteria and the scored record live in the Gate Decision Framework. Gate 2 is a submission gate rather than a funding gate: the IND is filed within the Stage 2 tranche, and the thirty-day safety review is a regulatory clock, not a governance one.</w:t>
      </w:r>
    </w:p>
    <w:p>
      <w:pPr>
        <w:spacing w:before="320"/>
      </w:pPr>
      <w:r>
        <w:rPr>
          <w:b/>
          <w:color w:val="12304A"/>
          <w:sz w:val="28"/>
        </w:rPr>
        <w:t>7. Key Deliverables &amp; Milestones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Deliverable</w:t>
            </w:r>
          </w:p>
        </w:tc>
        <w:tc>
          <w:tcPr>
            <w:tcW w:type="dxa" w:w="4824"/>
          </w:tcPr>
          <w:p>
            <w:r>
              <w:rPr>
                <w:b/>
                <w:sz w:val="17"/>
              </w:rPr>
              <w:t>Due</w:t>
            </w:r>
          </w:p>
        </w:tc>
      </w:tr>
      <w:tr>
        <w:tc>
          <w:tcPr>
            <w:tcW w:type="dxa" w:w="4824"/>
          </w:tcPr>
          <w:p>
            <w:r>
              <w:rPr>
                <w:sz w:val="17"/>
              </w:rPr>
              <w:t>Cardiovascular sub-study first participant dosed (CR-02)</w:t>
            </w:r>
          </w:p>
        </w:tc>
        <w:tc>
          <w:tcPr>
            <w:tcW w:type="dxa" w:w="4824"/>
          </w:tcPr>
          <w:p>
            <w:r>
              <w:rPr>
                <w:sz w:val="17"/>
              </w:rPr>
              <w:t>Stage 4</w:t>
            </w:r>
          </w:p>
        </w:tc>
      </w:tr>
      <w:tr>
        <w:tc>
          <w:tcPr>
            <w:tcW w:type="dxa" w:w="4824"/>
          </w:tcPr>
          <w:p>
            <w:r>
              <w:rPr>
                <w:sz w:val="17"/>
              </w:rPr>
              <w:t>GC-01 — analytical method re-qualification complete at Aldergate</w:t>
            </w:r>
          </w:p>
        </w:tc>
        <w:tc>
          <w:tcPr>
            <w:tcW w:type="dxa" w:w="4824"/>
          </w:tcPr>
          <w:p>
            <w:r>
              <w:rPr>
                <w:sz w:val="17"/>
              </w:rPr>
              <w:t>18 Dec 2026</w:t>
            </w:r>
          </w:p>
        </w:tc>
      </w:tr>
      <w:tr>
        <w:tc>
          <w:tcPr>
            <w:tcW w:type="dxa" w:w="4824"/>
          </w:tcPr>
          <w:p>
            <w:r>
              <w:rPr>
                <w:sz w:val="17"/>
              </w:rPr>
              <w:t>GC-03 — payer evidence plan and first advisory boards</w:t>
            </w:r>
          </w:p>
        </w:tc>
        <w:tc>
          <w:tcPr>
            <w:tcW w:type="dxa" w:w="4824"/>
          </w:tcPr>
          <w:p>
            <w:r>
              <w:rPr>
                <w:sz w:val="17"/>
              </w:rPr>
              <w:t>31 Mar 2027</w:t>
            </w:r>
          </w:p>
        </w:tc>
      </w:tr>
      <w:tr>
        <w:tc>
          <w:tcPr>
            <w:tcW w:type="dxa" w:w="4824"/>
          </w:tcPr>
          <w:p>
            <w:r>
              <w:rPr>
                <w:sz w:val="17"/>
              </w:rPr>
              <w:t>Registration batches manufactured and placed on stability</w:t>
            </w:r>
          </w:p>
        </w:tc>
        <w:tc>
          <w:tcPr>
            <w:tcW w:type="dxa" w:w="4824"/>
          </w:tcPr>
          <w:p>
            <w:r>
              <w:rPr>
                <w:sz w:val="17"/>
              </w:rPr>
              <w:t>Stage 4</w:t>
            </w:r>
          </w:p>
        </w:tc>
      </w:tr>
      <w:tr>
        <w:tc>
          <w:tcPr>
            <w:tcW w:type="dxa" w:w="4824"/>
          </w:tcPr>
          <w:p>
            <w:r>
              <w:rPr>
                <w:sz w:val="17"/>
              </w:rPr>
              <w:t>Process validation complete (DEP-04)</w:t>
            </w:r>
          </w:p>
        </w:tc>
        <w:tc>
          <w:tcPr>
            <w:tcW w:type="dxa" w:w="4824"/>
          </w:tcPr>
          <w:p>
            <w:r>
              <w:rPr>
                <w:sz w:val="17"/>
              </w:rPr>
              <w:t>Stage 4</w:t>
            </w:r>
          </w:p>
        </w:tc>
      </w:tr>
      <w:tr>
        <w:tc>
          <w:tcPr>
            <w:tcW w:type="dxa" w:w="4824"/>
          </w:tcPr>
          <w:p>
            <w:r>
              <w:rPr>
                <w:sz w:val="17"/>
              </w:rPr>
              <w:t>Pre-NDA meeting</w:t>
            </w:r>
          </w:p>
        </w:tc>
        <w:tc>
          <w:tcPr>
            <w:tcW w:type="dxa" w:w="4824"/>
          </w:tcPr>
          <w:p>
            <w:r>
              <w:rPr>
                <w:sz w:val="17"/>
              </w:rPr>
              <w:t>10 Aug 2028</w:t>
            </w:r>
          </w:p>
        </w:tc>
      </w:tr>
      <w:tr>
        <w:tc>
          <w:tcPr>
            <w:tcW w:type="dxa" w:w="4824"/>
          </w:tcPr>
          <w:p>
            <w:r>
              <w:rPr>
                <w:sz w:val="17"/>
              </w:rPr>
              <w:t>Database lock, both pivotal trials (DEP-05)</w:t>
            </w:r>
          </w:p>
        </w:tc>
        <w:tc>
          <w:tcPr>
            <w:tcW w:type="dxa" w:w="4824"/>
          </w:tcPr>
          <w:p>
            <w:r>
              <w:rPr>
                <w:sz w:val="17"/>
              </w:rPr>
              <w:t>Stage 4</w:t>
            </w:r>
          </w:p>
        </w:tc>
      </w:tr>
      <w:tr>
        <w:tc>
          <w:tcPr>
            <w:tcW w:type="dxa" w:w="4824"/>
          </w:tcPr>
          <w:p>
            <w:r>
              <w:rPr>
                <w:sz w:val="17"/>
              </w:rPr>
              <w:t>NDA submission — Gate 5 package</w:t>
            </w:r>
          </w:p>
        </w:tc>
        <w:tc>
          <w:tcPr>
            <w:tcW w:type="dxa" w:w="4824"/>
          </w:tcPr>
          <w:p>
            <w:r>
              <w:rPr>
                <w:sz w:val="17"/>
              </w:rPr>
              <w:t>30 Sep 2028</w:t>
            </w:r>
          </w:p>
        </w:tc>
      </w:tr>
      <w:tr>
        <w:tc>
          <w:tcPr>
            <w:tcW w:type="dxa" w:w="4824"/>
          </w:tcPr>
          <w:p>
            <w:r>
              <w:rPr>
                <w:sz w:val="17"/>
              </w:rPr>
              <w:t>Pre-approval inspection</w:t>
            </w:r>
          </w:p>
        </w:tc>
        <w:tc>
          <w:tcPr>
            <w:tcW w:type="dxa" w:w="4824"/>
          </w:tcPr>
          <w:p>
            <w:r>
              <w:rPr>
                <w:sz w:val="17"/>
              </w:rPr>
              <w:t>Stage 5</w:t>
            </w:r>
          </w:p>
        </w:tc>
      </w:tr>
      <w:tr>
        <w:tc>
          <w:tcPr>
            <w:tcW w:type="dxa" w:w="4824"/>
          </w:tcPr>
          <w:p>
            <w:r>
              <w:rPr>
                <w:sz w:val="17"/>
              </w:rPr>
              <w:t>Target action date</w:t>
            </w:r>
          </w:p>
        </w:tc>
        <w:tc>
          <w:tcPr>
            <w:tcW w:type="dxa" w:w="4824"/>
          </w:tcPr>
          <w:p>
            <w:r>
              <w:rPr>
                <w:sz w:val="17"/>
              </w:rPr>
              <w:t>11 Oct 2029</w:t>
            </w:r>
          </w:p>
        </w:tc>
      </w:tr>
      <w:tr>
        <w:tc>
          <w:tcPr>
            <w:tcW w:type="dxa" w:w="4824"/>
          </w:tcPr>
          <w:p>
            <w:r>
              <w:rPr>
                <w:sz w:val="17"/>
              </w:rPr>
              <w:t>First commercial shipment</w:t>
            </w:r>
          </w:p>
        </w:tc>
        <w:tc>
          <w:tcPr>
            <w:tcW w:type="dxa" w:w="4824"/>
          </w:tcPr>
          <w:p>
            <w:r>
              <w:rPr>
                <w:sz w:val="17"/>
              </w:rPr>
              <w:t>01 Nov 2029</w:t>
            </w:r>
          </w:p>
        </w:tc>
      </w:tr>
    </w:tbl>
    <w:p/>
    <w:p>
      <w:pPr>
        <w:spacing w:before="320"/>
      </w:pPr>
      <w:r>
        <w:rPr>
          <w:b/>
          <w:color w:val="12304A"/>
          <w:sz w:val="28"/>
        </w:rPr>
        <w:t>8. Governance &amp; Decision Rights</w:t>
      </w:r>
    </w:p>
    <w:p>
      <w:r>
        <w:t>A seven-seat Development Committee holds five votes and decides every gate outcome. The Chair facilitates, certifies evidence quality, and does not vote — the person accountable for the program's progress is not the person who decides whether it continues (Decision D-09).</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Seat</w:t>
            </w:r>
          </w:p>
        </w:tc>
        <w:tc>
          <w:tcPr>
            <w:tcW w:type="dxa" w:w="3216"/>
          </w:tcPr>
          <w:p>
            <w:r>
              <w:rPr>
                <w:b/>
                <w:sz w:val="17"/>
              </w:rPr>
              <w:t>Vote</w:t>
            </w:r>
          </w:p>
        </w:tc>
      </w:tr>
      <w:tr>
        <w:tc>
          <w:tcPr>
            <w:tcW w:type="dxa" w:w="3216"/>
          </w:tcPr>
          <w:p>
            <w:r>
              <w:rPr>
                <w:sz w:val="17"/>
              </w:rPr>
              <w:t>C. Tyrrell</w:t>
            </w:r>
          </w:p>
        </w:tc>
        <w:tc>
          <w:tcPr>
            <w:tcW w:type="dxa" w:w="3216"/>
          </w:tcPr>
          <w:p>
            <w:r>
              <w:rPr>
                <w:sz w:val="17"/>
              </w:rPr>
              <w:t>Program Director — Chair, seated from the PMO</w:t>
            </w:r>
          </w:p>
        </w:tc>
        <w:tc>
          <w:tcPr>
            <w:tcW w:type="dxa" w:w="3216"/>
          </w:tcPr>
          <w:p>
            <w:r>
              <w:rPr>
                <w:sz w:val="17"/>
              </w:rPr>
              <w:t>No vote</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Voting</w:t>
            </w:r>
          </w:p>
        </w:tc>
      </w:tr>
      <w:tr>
        <w:tc>
          <w:tcPr>
            <w:tcW w:type="dxa" w:w="3216"/>
          </w:tcPr>
          <w:p>
            <w:r>
              <w:rPr>
                <w:sz w:val="17"/>
              </w:rPr>
              <w:t>Dr. H. Vasquez</w:t>
            </w:r>
          </w:p>
        </w:tc>
        <w:tc>
          <w:tcPr>
            <w:tcW w:type="dxa" w:w="3216"/>
          </w:tcPr>
          <w:p>
            <w:r>
              <w:rPr>
                <w:sz w:val="17"/>
              </w:rPr>
              <w:t>Chief Scientific Officer</w:t>
            </w:r>
          </w:p>
        </w:tc>
        <w:tc>
          <w:tcPr>
            <w:tcW w:type="dxa" w:w="3216"/>
          </w:tcPr>
          <w:p>
            <w:r>
              <w:rPr>
                <w:sz w:val="17"/>
              </w:rPr>
              <w:t>Voting</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Voting</w:t>
            </w:r>
          </w:p>
        </w:tc>
      </w:tr>
      <w:tr>
        <w:tc>
          <w:tcPr>
            <w:tcW w:type="dxa" w:w="3216"/>
          </w:tcPr>
          <w:p>
            <w:r>
              <w:rPr>
                <w:sz w:val="17"/>
              </w:rPr>
              <w:t>M. Thornbury</w:t>
            </w:r>
          </w:p>
        </w:tc>
        <w:tc>
          <w:tcPr>
            <w:tcW w:type="dxa" w:w="3216"/>
          </w:tcPr>
          <w:p>
            <w:r>
              <w:rPr>
                <w:sz w:val="17"/>
              </w:rPr>
              <w:t>Chief Financial Officer</w:t>
            </w:r>
          </w:p>
        </w:tc>
        <w:tc>
          <w:tcPr>
            <w:tcW w:type="dxa" w:w="3216"/>
          </w:tcPr>
          <w:p>
            <w:r>
              <w:rPr>
                <w:sz w:val="17"/>
              </w:rPr>
              <w:t>Voting</w:t>
            </w:r>
          </w:p>
        </w:tc>
      </w:tr>
      <w:tr>
        <w:tc>
          <w:tcPr>
            <w:tcW w:type="dxa" w:w="3216"/>
          </w:tcPr>
          <w:p>
            <w:r>
              <w:rPr>
                <w:sz w:val="17"/>
              </w:rPr>
              <w:t>J. Barrington</w:t>
            </w:r>
          </w:p>
        </w:tc>
        <w:tc>
          <w:tcPr>
            <w:tcW w:type="dxa" w:w="3216"/>
          </w:tcPr>
          <w:p>
            <w:r>
              <w:rPr>
                <w:sz w:val="17"/>
              </w:rPr>
              <w:t>SVP, Market Access &amp; Commercial</w:t>
            </w:r>
          </w:p>
        </w:tc>
        <w:tc>
          <w:tcPr>
            <w:tcW w:type="dxa" w:w="3216"/>
          </w:tcPr>
          <w:p>
            <w:r>
              <w:rPr>
                <w:sz w:val="17"/>
              </w:rPr>
              <w:t>Voting</w:t>
            </w:r>
          </w:p>
        </w:tc>
      </w:tr>
      <w:tr>
        <w:tc>
          <w:tcPr>
            <w:tcW w:type="dxa" w:w="3216"/>
          </w:tcPr>
          <w:p>
            <w:r>
              <w:rPr>
                <w:sz w:val="17"/>
              </w:rPr>
              <w:t>Dr. I. Solberg</w:t>
            </w:r>
          </w:p>
        </w:tc>
        <w:tc>
          <w:tcPr>
            <w:tcW w:type="dxa" w:w="3216"/>
          </w:tcPr>
          <w:p>
            <w:r>
              <w:rPr>
                <w:sz w:val="17"/>
              </w:rPr>
              <w:t>Chief Quality Officer</w:t>
            </w:r>
          </w:p>
        </w:tc>
        <w:tc>
          <w:tcPr>
            <w:tcW w:type="dxa" w:w="3216"/>
          </w:tcPr>
          <w:p>
            <w:r>
              <w:rPr>
                <w:sz w:val="17"/>
              </w:rPr>
              <w:t>Observer, no vote</w:t>
            </w:r>
          </w:p>
        </w:tc>
      </w:tr>
    </w:tbl>
    <w:p/>
    <w:p>
      <w:pPr>
        <w:spacing w:before="120"/>
        <w:ind w:left="360"/>
      </w:pPr>
      <w:r>
        <w:rPr>
          <w:i/>
          <w:color w:val="12304A"/>
          <w:sz w:val="20"/>
        </w:rPr>
        <w:t>One authority the Committee does not hold. The independent Data Monitoring Committee's recommendation to pause or stop a trial is binding and is not a Development Committee decision (C-05). Governance can decide whether a program continues to be funded. It cannot decide whether it is safe to continue dosing. Conflating the two is the failure mode this separation exists to prevent.</w:t>
      </w:r>
    </w:p>
    <w:p>
      <w:r>
        <w:t>Mandate, quorum, conflict-of-interest handling and the defined gate outcomes are set out in the Development Committee Charter, the governing instrument this charter operates under.</w:t>
      </w:r>
    </w:p>
    <w:p>
      <w:pPr>
        <w:spacing w:before="320"/>
      </w:pPr>
      <w:r>
        <w:rPr>
          <w:b/>
          <w:color w:val="12304A"/>
          <w:sz w:val="28"/>
        </w:rPr>
        <w:t>9. Chair Authority &amp; Limitations</w:t>
      </w:r>
    </w:p>
    <w:p>
      <w:r>
        <w:t>The Chair sets the gate agenda, certifies that tabled evidence meets the standard recorded when a condition was issued, verifies and closes Gate Conditions against their recorded verification method, and maintains the readiness assessment and conditions register between gates.</w:t>
      </w:r>
    </w:p>
    <w:p>
      <w:r>
        <w:t>The Chair does not: vote on a gate outcome; close a condition the Chair personally owns; renegotiate a verification method after issue; authorize spend beyond the tranche a gate has released; or overrule a Data Monitoring Committee recommendation. Each of these requires a Committee decision, minuted.</w:t>
      </w:r>
    </w:p>
    <w:p>
      <w:pPr>
        <w:spacing w:before="320"/>
      </w:pPr>
      <w:r>
        <w:rPr>
          <w:b/>
          <w:color w:val="12304A"/>
          <w:sz w:val="28"/>
        </w:rPr>
        <w:t>10. Organization &amp; Roster</w:t>
      </w:r>
    </w:p>
    <w:p>
      <w:r>
        <w:t>Life-of-program headcount is 109 people, ramping by stage and totalling 191,420 hours. That divides into 102 people across 10 working functions, which carry deliverables and appear in the work breakdown structure, and the 7-seat Development Committee, which is oversight only, carries no work-breakdown assignment, and holds no deliverable — which is precisely the condition that lets it decide. Every figure below is the same roster seen from a different side: the table here is the organizational cut, and §5 of the Program Budget is the same rows costed at a blended rate.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Function</w:t>
            </w:r>
          </w:p>
        </w:tc>
        <w:tc>
          <w:tcPr>
            <w:tcW w:type="dxa" w:w="3216"/>
          </w:tcPr>
          <w:p>
            <w:r>
              <w:rPr>
                <w:b/>
                <w:sz w:val="17"/>
              </w:rPr>
              <w:t>Headcount</w:t>
            </w:r>
          </w:p>
        </w:tc>
        <w:tc>
          <w:tcPr>
            <w:tcW w:type="dxa" w:w="3216"/>
          </w:tcPr>
          <w:p>
            <w:r>
              <w:rPr>
                <w:b/>
                <w:sz w:val="17"/>
              </w:rPr>
              <w:t>Hours</w:t>
            </w:r>
          </w:p>
        </w:tc>
      </w:tr>
      <w:tr>
        <w:tc>
          <w:tcPr>
            <w:tcW w:type="dxa" w:w="3216"/>
          </w:tcPr>
          <w:p>
            <w:r>
              <w:rPr>
                <w:sz w:val="17"/>
              </w:rPr>
              <w:t>Clinical Operations</w:t>
            </w:r>
          </w:p>
        </w:tc>
        <w:tc>
          <w:tcPr>
            <w:tcW w:type="dxa" w:w="3216"/>
          </w:tcPr>
          <w:p>
            <w:r>
              <w:rPr>
                <w:sz w:val="17"/>
              </w:rPr>
              <w:t>24</w:t>
            </w:r>
          </w:p>
        </w:tc>
        <w:tc>
          <w:tcPr>
            <w:tcW w:type="dxa" w:w="3216"/>
          </w:tcPr>
          <w:p>
            <w:r>
              <w:rPr>
                <w:sz w:val="17"/>
              </w:rPr>
              <w:t>51,900</w:t>
            </w:r>
          </w:p>
        </w:tc>
      </w:tr>
      <w:tr>
        <w:tc>
          <w:tcPr>
            <w:tcW w:type="dxa" w:w="3216"/>
          </w:tcPr>
          <w:p>
            <w:r>
              <w:rPr>
                <w:sz w:val="17"/>
              </w:rPr>
              <w:t>Technical Operations / CMC</w:t>
            </w:r>
          </w:p>
        </w:tc>
        <w:tc>
          <w:tcPr>
            <w:tcW w:type="dxa" w:w="3216"/>
          </w:tcPr>
          <w:p>
            <w:r>
              <w:rPr>
                <w:sz w:val="17"/>
              </w:rPr>
              <w:t>16</w:t>
            </w:r>
          </w:p>
        </w:tc>
        <w:tc>
          <w:tcPr>
            <w:tcW w:type="dxa" w:w="3216"/>
          </w:tcPr>
          <w:p>
            <w:r>
              <w:rPr>
                <w:sz w:val="17"/>
              </w:rPr>
              <w:t>30,200</w:t>
            </w:r>
          </w:p>
        </w:tc>
      </w:tr>
      <w:tr>
        <w:tc>
          <w:tcPr>
            <w:tcW w:type="dxa" w:w="3216"/>
          </w:tcPr>
          <w:p>
            <w:r>
              <w:rPr>
                <w:sz w:val="17"/>
              </w:rPr>
              <w:t>Clinical Development</w:t>
            </w:r>
          </w:p>
        </w:tc>
        <w:tc>
          <w:tcPr>
            <w:tcW w:type="dxa" w:w="3216"/>
          </w:tcPr>
          <w:p>
            <w:r>
              <w:rPr>
                <w:sz w:val="17"/>
              </w:rPr>
              <w:t>12</w:t>
            </w:r>
          </w:p>
        </w:tc>
        <w:tc>
          <w:tcPr>
            <w:tcW w:type="dxa" w:w="3216"/>
          </w:tcPr>
          <w:p>
            <w:r>
              <w:rPr>
                <w:sz w:val="17"/>
              </w:rPr>
              <w:t>17,900</w:t>
            </w:r>
          </w:p>
        </w:tc>
      </w:tr>
      <w:tr>
        <w:tc>
          <w:tcPr>
            <w:tcW w:type="dxa" w:w="3216"/>
          </w:tcPr>
          <w:p>
            <w:r>
              <w:rPr>
                <w:sz w:val="17"/>
              </w:rPr>
              <w:t>Biostatistics &amp; Data Management</w:t>
            </w:r>
          </w:p>
        </w:tc>
        <w:tc>
          <w:tcPr>
            <w:tcW w:type="dxa" w:w="3216"/>
          </w:tcPr>
          <w:p>
            <w:r>
              <w:rPr>
                <w:sz w:val="17"/>
              </w:rPr>
              <w:t>12</w:t>
            </w:r>
          </w:p>
        </w:tc>
        <w:tc>
          <w:tcPr>
            <w:tcW w:type="dxa" w:w="3216"/>
          </w:tcPr>
          <w:p>
            <w:r>
              <w:rPr>
                <w:sz w:val="17"/>
              </w:rPr>
              <w:t>22,600</w:t>
            </w:r>
          </w:p>
        </w:tc>
      </w:tr>
      <w:tr>
        <w:tc>
          <w:tcPr>
            <w:tcW w:type="dxa" w:w="3216"/>
          </w:tcPr>
          <w:p>
            <w:r>
              <w:rPr>
                <w:sz w:val="17"/>
              </w:rPr>
              <w:t>Regulatory Affairs</w:t>
            </w:r>
          </w:p>
        </w:tc>
        <w:tc>
          <w:tcPr>
            <w:tcW w:type="dxa" w:w="3216"/>
          </w:tcPr>
          <w:p>
            <w:r>
              <w:rPr>
                <w:sz w:val="17"/>
              </w:rPr>
              <w:t>10</w:t>
            </w:r>
          </w:p>
        </w:tc>
        <w:tc>
          <w:tcPr>
            <w:tcW w:type="dxa" w:w="3216"/>
          </w:tcPr>
          <w:p>
            <w:r>
              <w:rPr>
                <w:sz w:val="17"/>
              </w:rPr>
              <w:t>18,900</w:t>
            </w:r>
          </w:p>
        </w:tc>
      </w:tr>
      <w:tr>
        <w:tc>
          <w:tcPr>
            <w:tcW w:type="dxa" w:w="3216"/>
          </w:tcPr>
          <w:p>
            <w:r>
              <w:rPr>
                <w:sz w:val="17"/>
              </w:rPr>
              <w:t>Pharmacovigilance &amp; Drug Safety</w:t>
            </w:r>
          </w:p>
        </w:tc>
        <w:tc>
          <w:tcPr>
            <w:tcW w:type="dxa" w:w="3216"/>
          </w:tcPr>
          <w:p>
            <w:r>
              <w:rPr>
                <w:sz w:val="17"/>
              </w:rPr>
              <w:t>8</w:t>
            </w:r>
          </w:p>
        </w:tc>
        <w:tc>
          <w:tcPr>
            <w:tcW w:type="dxa" w:w="3216"/>
          </w:tcPr>
          <w:p>
            <w:r>
              <w:rPr>
                <w:sz w:val="17"/>
              </w:rPr>
              <w:t>14,200</w:t>
            </w:r>
          </w:p>
        </w:tc>
      </w:tr>
      <w:tr>
        <w:tc>
          <w:tcPr>
            <w:tcW w:type="dxa" w:w="3216"/>
          </w:tcPr>
          <w:p>
            <w:r>
              <w:rPr>
                <w:sz w:val="17"/>
              </w:rPr>
              <w:t>Quality Assurance (GxP)</w:t>
            </w:r>
          </w:p>
        </w:tc>
        <w:tc>
          <w:tcPr>
            <w:tcW w:type="dxa" w:w="3216"/>
          </w:tcPr>
          <w:p>
            <w:r>
              <w:rPr>
                <w:sz w:val="17"/>
              </w:rPr>
              <w:t>7</w:t>
            </w:r>
          </w:p>
        </w:tc>
        <w:tc>
          <w:tcPr>
            <w:tcW w:type="dxa" w:w="3216"/>
          </w:tcPr>
          <w:p>
            <w:r>
              <w:rPr>
                <w:sz w:val="17"/>
              </w:rPr>
              <w:t>12,800</w:t>
            </w:r>
          </w:p>
        </w:tc>
      </w:tr>
      <w:tr>
        <w:tc>
          <w:tcPr>
            <w:tcW w:type="dxa" w:w="3216"/>
          </w:tcPr>
          <w:p>
            <w:r>
              <w:rPr>
                <w:sz w:val="17"/>
              </w:rPr>
              <w:t>Nonclinical Safety &amp; Pharmacology</w:t>
            </w:r>
          </w:p>
        </w:tc>
        <w:tc>
          <w:tcPr>
            <w:tcW w:type="dxa" w:w="3216"/>
          </w:tcPr>
          <w:p>
            <w:r>
              <w:rPr>
                <w:sz w:val="17"/>
              </w:rPr>
              <w:t>5</w:t>
            </w:r>
          </w:p>
        </w:tc>
        <w:tc>
          <w:tcPr>
            <w:tcW w:type="dxa" w:w="3216"/>
          </w:tcPr>
          <w:p>
            <w:r>
              <w:rPr>
                <w:sz w:val="17"/>
              </w:rPr>
              <w:t>9,400</w:t>
            </w:r>
          </w:p>
        </w:tc>
      </w:tr>
      <w:tr>
        <w:tc>
          <w:tcPr>
            <w:tcW w:type="dxa" w:w="3216"/>
          </w:tcPr>
          <w:p>
            <w:r>
              <w:rPr>
                <w:sz w:val="17"/>
              </w:rPr>
              <w:t>Program Management Office</w:t>
            </w:r>
          </w:p>
        </w:tc>
        <w:tc>
          <w:tcPr>
            <w:tcW w:type="dxa" w:w="3216"/>
          </w:tcPr>
          <w:p>
            <w:r>
              <w:rPr>
                <w:sz w:val="17"/>
              </w:rPr>
              <w:t>4</w:t>
            </w:r>
          </w:p>
        </w:tc>
        <w:tc>
          <w:tcPr>
            <w:tcW w:type="dxa" w:w="3216"/>
          </w:tcPr>
          <w:p>
            <w:r>
              <w:rPr>
                <w:sz w:val="17"/>
              </w:rPr>
              <w:t>7,200</w:t>
            </w:r>
          </w:p>
        </w:tc>
      </w:tr>
      <w:tr>
        <w:tc>
          <w:tcPr>
            <w:tcW w:type="dxa" w:w="3216"/>
          </w:tcPr>
          <w:p>
            <w:r>
              <w:rPr>
                <w:sz w:val="17"/>
              </w:rPr>
              <w:t>Market Access &amp; Commercial</w:t>
            </w:r>
          </w:p>
        </w:tc>
        <w:tc>
          <w:tcPr>
            <w:tcW w:type="dxa" w:w="3216"/>
          </w:tcPr>
          <w:p>
            <w:r>
              <w:rPr>
                <w:sz w:val="17"/>
              </w:rPr>
              <w:t>4</w:t>
            </w:r>
          </w:p>
        </w:tc>
        <w:tc>
          <w:tcPr>
            <w:tcW w:type="dxa" w:w="3216"/>
          </w:tcPr>
          <w:p>
            <w:r>
              <w:rPr>
                <w:sz w:val="17"/>
              </w:rPr>
              <w:t>5,000</w:t>
            </w:r>
          </w:p>
        </w:tc>
      </w:tr>
      <w:tr>
        <w:tc>
          <w:tcPr>
            <w:tcW w:type="dxa" w:w="3216"/>
          </w:tcPr>
          <w:p>
            <w:r>
              <w:rPr>
                <w:sz w:val="17"/>
              </w:rPr>
              <w:t>Development Committee (oversight only)</w:t>
            </w:r>
          </w:p>
        </w:tc>
        <w:tc>
          <w:tcPr>
            <w:tcW w:type="dxa" w:w="3216"/>
          </w:tcPr>
          <w:p>
            <w:r>
              <w:rPr>
                <w:sz w:val="17"/>
              </w:rPr>
              <w:t>7</w:t>
            </w:r>
          </w:p>
        </w:tc>
        <w:tc>
          <w:tcPr>
            <w:tcW w:type="dxa" w:w="3216"/>
          </w:tcPr>
          <w:p>
            <w:r>
              <w:rPr>
                <w:sz w:val="17"/>
              </w:rPr>
              <w:t>1,320</w:t>
            </w:r>
          </w:p>
        </w:tc>
      </w:tr>
      <w:tr>
        <w:tc>
          <w:tcPr>
            <w:tcW w:type="dxa" w:w="3216"/>
          </w:tcPr>
          <w:p>
            <w:r>
              <w:rPr>
                <w:sz w:val="17"/>
              </w:rPr>
              <w:t>Total</w:t>
            </w:r>
          </w:p>
        </w:tc>
        <w:tc>
          <w:tcPr>
            <w:tcW w:type="dxa" w:w="3216"/>
          </w:tcPr>
          <w:p>
            <w:r>
              <w:rPr>
                <w:sz w:val="17"/>
              </w:rPr>
              <w:t>109</w:t>
            </w:r>
          </w:p>
        </w:tc>
        <w:tc>
          <w:tcPr>
            <w:tcW w:type="dxa" w:w="3216"/>
          </w:tcPr>
          <w:p>
            <w:r>
              <w:rPr>
                <w:sz w:val="17"/>
              </w:rPr>
              <w:t>191,420</w:t>
            </w:r>
          </w:p>
        </w:tc>
      </w:tr>
    </w:tbl>
    <w:p/>
    <w:p>
      <w:pPr>
        <w:spacing w:before="200"/>
      </w:pPr>
      <w:r>
        <w:rPr>
          <w:b/>
          <w:color w:val="2B5F8E"/>
          <w:sz w:val="23"/>
        </w:rPr>
        <w:t>Functional leadership</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Name</w:t>
            </w:r>
          </w:p>
        </w:tc>
        <w:tc>
          <w:tcPr>
            <w:tcW w:type="dxa" w:w="4824"/>
          </w:tcPr>
          <w:p>
            <w:r>
              <w:rPr>
                <w:b/>
                <w:sz w:val="17"/>
              </w:rPr>
              <w:t>Role</w:t>
            </w:r>
          </w:p>
        </w:tc>
      </w:tr>
      <w:tr>
        <w:tc>
          <w:tcPr>
            <w:tcW w:type="dxa" w:w="4824"/>
          </w:tcPr>
          <w:p>
            <w:r>
              <w:rPr>
                <w:sz w:val="17"/>
              </w:rPr>
              <w:t>T. Nakashima</w:t>
            </w:r>
          </w:p>
        </w:tc>
        <w:tc>
          <w:tcPr>
            <w:tcW w:type="dxa" w:w="4824"/>
          </w:tcPr>
          <w:p>
            <w:r>
              <w:rPr>
                <w:sz w:val="17"/>
              </w:rPr>
              <w:t>VP, Program Delivery</w:t>
            </w:r>
          </w:p>
        </w:tc>
      </w:tr>
      <w:tr>
        <w:tc>
          <w:tcPr>
            <w:tcW w:type="dxa" w:w="4824"/>
          </w:tcPr>
          <w:p>
            <w:r>
              <w:rPr>
                <w:sz w:val="17"/>
              </w:rPr>
              <w:t>Dr. S. Aldridge</w:t>
            </w:r>
          </w:p>
        </w:tc>
        <w:tc>
          <w:tcPr>
            <w:tcW w:type="dxa" w:w="4824"/>
          </w:tcPr>
          <w:p>
            <w:r>
              <w:rPr>
                <w:sz w:val="17"/>
              </w:rPr>
              <w:t>VP, Clinical Development</w:t>
            </w:r>
          </w:p>
        </w:tc>
      </w:tr>
      <w:tr>
        <w:tc>
          <w:tcPr>
            <w:tcW w:type="dxa" w:w="4824"/>
          </w:tcPr>
          <w:p>
            <w:r>
              <w:rPr>
                <w:sz w:val="17"/>
              </w:rPr>
              <w:t>Dr. R. Molyneux</w:t>
            </w:r>
          </w:p>
        </w:tc>
        <w:tc>
          <w:tcPr>
            <w:tcW w:type="dxa" w:w="4824"/>
          </w:tcPr>
          <w:p>
            <w:r>
              <w:rPr>
                <w:sz w:val="17"/>
              </w:rPr>
              <w:t>Senior Director, Clinical Operations</w:t>
            </w:r>
          </w:p>
        </w:tc>
      </w:tr>
      <w:tr>
        <w:tc>
          <w:tcPr>
            <w:tcW w:type="dxa" w:w="4824"/>
          </w:tcPr>
          <w:p>
            <w:r>
              <w:rPr>
                <w:sz w:val="17"/>
              </w:rPr>
              <w:t>Dr. K. Oyelaran</w:t>
            </w:r>
          </w:p>
        </w:tc>
        <w:tc>
          <w:tcPr>
            <w:tcW w:type="dxa" w:w="4824"/>
          </w:tcPr>
          <w:p>
            <w:r>
              <w:rPr>
                <w:sz w:val="17"/>
              </w:rPr>
              <w:t>VP, Technical Operations (CMC)</w:t>
            </w:r>
          </w:p>
        </w:tc>
      </w:tr>
      <w:tr>
        <w:tc>
          <w:tcPr>
            <w:tcW w:type="dxa" w:w="4824"/>
          </w:tcPr>
          <w:p>
            <w:r>
              <w:rPr>
                <w:sz w:val="17"/>
              </w:rPr>
              <w:t>Dr. M. Sørensen</w:t>
            </w:r>
          </w:p>
        </w:tc>
        <w:tc>
          <w:tcPr>
            <w:tcW w:type="dxa" w:w="4824"/>
          </w:tcPr>
          <w:p>
            <w:r>
              <w:rPr>
                <w:sz w:val="17"/>
              </w:rPr>
              <w:t>VP, Nonclinical Safety</w:t>
            </w:r>
          </w:p>
        </w:tc>
      </w:tr>
      <w:tr>
        <w:tc>
          <w:tcPr>
            <w:tcW w:type="dxa" w:w="4824"/>
          </w:tcPr>
          <w:p>
            <w:r>
              <w:rPr>
                <w:sz w:val="17"/>
              </w:rPr>
              <w:t>Dr. F. Achterberg</w:t>
            </w:r>
          </w:p>
        </w:tc>
        <w:tc>
          <w:tcPr>
            <w:tcW w:type="dxa" w:w="4824"/>
          </w:tcPr>
          <w:p>
            <w:r>
              <w:rPr>
                <w:sz w:val="17"/>
              </w:rPr>
              <w:t>Head of Biostatistics</w:t>
            </w:r>
          </w:p>
        </w:tc>
      </w:tr>
      <w:tr>
        <w:tc>
          <w:tcPr>
            <w:tcW w:type="dxa" w:w="4824"/>
          </w:tcPr>
          <w:p>
            <w:r>
              <w:rPr>
                <w:sz w:val="17"/>
              </w:rPr>
              <w:t>Dr. N. Halloran</w:t>
            </w:r>
          </w:p>
        </w:tc>
        <w:tc>
          <w:tcPr>
            <w:tcW w:type="dxa" w:w="4824"/>
          </w:tcPr>
          <w:p>
            <w:r>
              <w:rPr>
                <w:sz w:val="17"/>
              </w:rPr>
              <w:t>Head of Pharmacovigilance</w:t>
            </w:r>
          </w:p>
        </w:tc>
      </w:tr>
      <w:tr>
        <w:tc>
          <w:tcPr>
            <w:tcW w:type="dxa" w:w="4824"/>
          </w:tcPr>
          <w:p>
            <w:r>
              <w:rPr>
                <w:sz w:val="17"/>
              </w:rPr>
              <w:t>G. Petrossian</w:t>
            </w:r>
          </w:p>
        </w:tc>
        <w:tc>
          <w:tcPr>
            <w:tcW w:type="dxa" w:w="4824"/>
          </w:tcPr>
          <w:p>
            <w:r>
              <w:rPr>
                <w:sz w:val="17"/>
              </w:rPr>
              <w:t>Director, Regulatory Operations</w:t>
            </w:r>
          </w:p>
        </w:tc>
      </w:tr>
      <w:tr>
        <w:tc>
          <w:tcPr>
            <w:tcW w:type="dxa" w:w="4824"/>
          </w:tcPr>
          <w:p>
            <w:r>
              <w:rPr>
                <w:sz w:val="17"/>
              </w:rPr>
              <w:t>L. Whitcombe</w:t>
            </w:r>
          </w:p>
        </w:tc>
        <w:tc>
          <w:tcPr>
            <w:tcW w:type="dxa" w:w="4824"/>
          </w:tcPr>
          <w:p>
            <w:r>
              <w:rPr>
                <w:sz w:val="17"/>
              </w:rPr>
              <w:t>Director, Market Access</w:t>
            </w:r>
          </w:p>
        </w:tc>
      </w:tr>
      <w:tr>
        <w:tc>
          <w:tcPr>
            <w:tcW w:type="dxa" w:w="4824"/>
          </w:tcPr>
          <w:p>
            <w:r>
              <w:rPr>
                <w:sz w:val="17"/>
              </w:rPr>
              <w:t>B. Ferreira</w:t>
            </w:r>
          </w:p>
        </w:tc>
        <w:tc>
          <w:tcPr>
            <w:tcW w:type="dxa" w:w="4824"/>
          </w:tcPr>
          <w:p>
            <w:r>
              <w:rPr>
                <w:sz w:val="17"/>
              </w:rPr>
              <w:t>Program Finance Manager</w:t>
            </w:r>
          </w:p>
        </w:tc>
      </w:tr>
    </w:tbl>
    <w:p/>
    <w:p>
      <w:pPr>
        <w:spacing w:before="200"/>
      </w:pPr>
      <w:r>
        <w:rPr>
          <w:b/>
          <w:color w:val="2B5F8E"/>
          <w:sz w:val="23"/>
        </w:rPr>
        <w:t>Contracted partners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Partner</w:t>
            </w:r>
          </w:p>
        </w:tc>
        <w:tc>
          <w:tcPr>
            <w:tcW w:type="dxa" w:w="4824"/>
          </w:tcPr>
          <w:p>
            <w:r>
              <w:rPr>
                <w:b/>
                <w:sz w:val="17"/>
              </w:rPr>
              <w:t>Scope</w:t>
            </w:r>
          </w:p>
        </w:tc>
      </w:tr>
      <w:tr>
        <w:tc>
          <w:tcPr>
            <w:tcW w:type="dxa" w:w="4824"/>
          </w:tcPr>
          <w:p>
            <w:r>
              <w:rPr>
                <w:sz w:val="17"/>
              </w:rPr>
              <w:t>Meridian Clinical Research</w:t>
            </w:r>
          </w:p>
        </w:tc>
        <w:tc>
          <w:tcPr>
            <w:tcW w:type="dxa" w:w="4824"/>
          </w:tcPr>
          <w:p>
            <w:r>
              <w:rPr>
                <w:sz w:val="17"/>
              </w:rPr>
              <w:t>Full-service CRO — Phase 2 and Phase 3 execution (D-04)</w:t>
            </w:r>
          </w:p>
        </w:tc>
      </w:tr>
      <w:tr>
        <w:tc>
          <w:tcPr>
            <w:tcW w:type="dxa" w:w="4824"/>
          </w:tcPr>
          <w:p>
            <w:r>
              <w:rPr>
                <w:sz w:val="17"/>
              </w:rPr>
              <w:t>Aldergate Biologics</w:t>
            </w:r>
          </w:p>
        </w:tc>
        <w:tc>
          <w:tcPr>
            <w:tcW w:type="dxa" w:w="4824"/>
          </w:tcPr>
          <w:p>
            <w:r>
              <w:rPr>
                <w:sz w:val="17"/>
              </w:rPr>
              <w:t>Contract manufacturer — drug substance and drug product</w:t>
            </w:r>
          </w:p>
        </w:tc>
      </w:tr>
      <w:tr>
        <w:tc>
          <w:tcPr>
            <w:tcW w:type="dxa" w:w="4824"/>
          </w:tcPr>
          <w:p>
            <w:r>
              <w:rPr>
                <w:sz w:val="17"/>
              </w:rPr>
              <w:t>Kestrel Laboratories</w:t>
            </w:r>
          </w:p>
        </w:tc>
        <w:tc>
          <w:tcPr>
            <w:tcW w:type="dxa" w:w="4824"/>
          </w:tcPr>
          <w:p>
            <w:r>
              <w:rPr>
                <w:sz w:val="17"/>
              </w:rPr>
              <w:t>Central laboratory and bioanalytical services</w:t>
            </w:r>
          </w:p>
        </w:tc>
      </w:tr>
      <w:tr>
        <w:tc>
          <w:tcPr>
            <w:tcW w:type="dxa" w:w="4824"/>
          </w:tcPr>
          <w:p>
            <w:r>
              <w:rPr>
                <w:sz w:val="17"/>
              </w:rPr>
              <w:t>Thorne &amp; Vale LLP</w:t>
            </w:r>
          </w:p>
        </w:tc>
        <w:tc>
          <w:tcPr>
            <w:tcW w:type="dxa" w:w="4824"/>
          </w:tcPr>
          <w:p>
            <w:r>
              <w:rPr>
                <w:sz w:val="17"/>
              </w:rPr>
              <w:t>Outside regulatory counsel</w:t>
            </w:r>
          </w:p>
        </w:tc>
      </w:tr>
    </w:tbl>
    <w:p/>
    <w:p>
      <w:r>
        <w:t>Cost detail by function, and the reconciliation tying every allocation to these envelopes, live in the Program Budget and the Resource Plan.</w:t>
      </w:r>
    </w:p>
    <w:p>
      <w:pPr>
        <w:spacing w:before="320"/>
      </w:pPr>
      <w:r>
        <w:rPr>
          <w:b/>
          <w:color w:val="12304A"/>
          <w:sz w:val="28"/>
        </w:rPr>
        <w:t>11. Stakeholders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Stakeholder</w:t>
            </w:r>
          </w:p>
        </w:tc>
        <w:tc>
          <w:tcPr>
            <w:tcW w:type="dxa" w:w="4824"/>
          </w:tcPr>
          <w:p>
            <w:r>
              <w:rPr>
                <w:b/>
                <w:sz w:val="17"/>
              </w:rPr>
              <w:t>Interest</w:t>
            </w:r>
          </w:p>
        </w:tc>
      </w:tr>
      <w:tr>
        <w:tc>
          <w:tcPr>
            <w:tcW w:type="dxa" w:w="4824"/>
          </w:tcPr>
          <w:p>
            <w:r>
              <w:rPr>
                <w:sz w:val="17"/>
              </w:rPr>
              <w:t>Development Committee</w:t>
            </w:r>
          </w:p>
        </w:tc>
        <w:tc>
          <w:tcPr>
            <w:tcW w:type="dxa" w:w="4824"/>
          </w:tcPr>
          <w:p>
            <w:r>
              <w:rPr>
                <w:sz w:val="17"/>
              </w:rPr>
              <w:t>Gate decision authority</w:t>
            </w:r>
          </w:p>
        </w:tc>
      </w:tr>
      <w:tr>
        <w:tc>
          <w:tcPr>
            <w:tcW w:type="dxa" w:w="4824"/>
          </w:tcPr>
          <w:p>
            <w:r>
              <w:rPr>
                <w:sz w:val="17"/>
              </w:rPr>
              <w:t>Board of Directors</w:t>
            </w:r>
          </w:p>
        </w:tc>
        <w:tc>
          <w:tcPr>
            <w:tcW w:type="dxa" w:w="4824"/>
          </w:tcPr>
          <w:p>
            <w:r>
              <w:rPr>
                <w:sz w:val="17"/>
              </w:rPr>
              <w:t>Funds the program; receives gate outcomes, does not sit at gates</w:t>
            </w:r>
          </w:p>
        </w:tc>
      </w:tr>
      <w:tr>
        <w:tc>
          <w:tcPr>
            <w:tcW w:type="dxa" w:w="4824"/>
          </w:tcPr>
          <w:p>
            <w:r>
              <w:rPr>
                <w:sz w:val="17"/>
              </w:rPr>
              <w:t>FDA (CDER)</w:t>
            </w:r>
          </w:p>
        </w:tc>
        <w:tc>
          <w:tcPr>
            <w:tcW w:type="dxa" w:w="4824"/>
          </w:tcPr>
          <w:p>
            <w:r>
              <w:rPr>
                <w:sz w:val="17"/>
              </w:rPr>
              <w:t>Regulatory authority for the pathway and the review</w:t>
            </w:r>
          </w:p>
        </w:tc>
      </w:tr>
      <w:tr>
        <w:tc>
          <w:tcPr>
            <w:tcW w:type="dxa" w:w="4824"/>
          </w:tcPr>
          <w:p>
            <w:r>
              <w:rPr>
                <w:sz w:val="17"/>
              </w:rPr>
              <w:t>Independent Data Monitoring Committee</w:t>
            </w:r>
          </w:p>
        </w:tc>
        <w:tc>
          <w:tcPr>
            <w:tcW w:type="dxa" w:w="4824"/>
          </w:tcPr>
          <w:p>
            <w:r>
              <w:rPr>
                <w:sz w:val="17"/>
              </w:rPr>
              <w:t>Unblinded safety oversight; binding stopping authority (C-05)</w:t>
            </w:r>
          </w:p>
        </w:tc>
      </w:tr>
      <w:tr>
        <w:tc>
          <w:tcPr>
            <w:tcW w:type="dxa" w:w="4824"/>
          </w:tcPr>
          <w:p>
            <w:r>
              <w:rPr>
                <w:sz w:val="17"/>
              </w:rPr>
              <w:t>Institutional Review Boards</w:t>
            </w:r>
          </w:p>
        </w:tc>
        <w:tc>
          <w:tcPr>
            <w:tcW w:type="dxa" w:w="4824"/>
          </w:tcPr>
          <w:p>
            <w:r>
              <w:rPr>
                <w:sz w:val="17"/>
              </w:rPr>
              <w:t>Site-level human subject protection</w:t>
            </w:r>
          </w:p>
        </w:tc>
      </w:tr>
      <w:tr>
        <w:tc>
          <w:tcPr>
            <w:tcW w:type="dxa" w:w="4824"/>
          </w:tcPr>
          <w:p>
            <w:r>
              <w:rPr>
                <w:sz w:val="17"/>
              </w:rPr>
              <w:t>Investigators and trial sites</w:t>
            </w:r>
          </w:p>
        </w:tc>
        <w:tc>
          <w:tcPr>
            <w:tcW w:type="dxa" w:w="4824"/>
          </w:tcPr>
          <w:p>
            <w:r>
              <w:rPr>
                <w:sz w:val="17"/>
              </w:rPr>
              <w:t>Protocol conduct, recruitment, data</w:t>
            </w:r>
          </w:p>
        </w:tc>
      </w:tr>
      <w:tr>
        <w:tc>
          <w:tcPr>
            <w:tcW w:type="dxa" w:w="4824"/>
          </w:tcPr>
          <w:p>
            <w:r>
              <w:rPr>
                <w:sz w:val="17"/>
              </w:rPr>
              <w:t>Trial participants and advocacy groups</w:t>
            </w:r>
          </w:p>
        </w:tc>
        <w:tc>
          <w:tcPr>
            <w:tcW w:type="dxa" w:w="4824"/>
          </w:tcPr>
          <w:p>
            <w:r>
              <w:rPr>
                <w:sz w:val="17"/>
              </w:rPr>
              <w:t>Safety, informed consent, access</w:t>
            </w:r>
          </w:p>
        </w:tc>
      </w:tr>
      <w:tr>
        <w:tc>
          <w:tcPr>
            <w:tcW w:type="dxa" w:w="4824"/>
          </w:tcPr>
          <w:p>
            <w:r>
              <w:rPr>
                <w:sz w:val="17"/>
              </w:rPr>
              <w:t>Meridian Clinical Research</w:t>
            </w:r>
          </w:p>
        </w:tc>
        <w:tc>
          <w:tcPr>
            <w:tcW w:type="dxa" w:w="4824"/>
          </w:tcPr>
          <w:p>
            <w:r>
              <w:rPr>
                <w:sz w:val="17"/>
              </w:rPr>
              <w:t>Trial execution under D-04</w:t>
            </w:r>
          </w:p>
        </w:tc>
      </w:tr>
      <w:tr>
        <w:tc>
          <w:tcPr>
            <w:tcW w:type="dxa" w:w="4824"/>
          </w:tcPr>
          <w:p>
            <w:r>
              <w:rPr>
                <w:sz w:val="17"/>
              </w:rPr>
              <w:t>Aldergate Biologics</w:t>
            </w:r>
          </w:p>
        </w:tc>
        <w:tc>
          <w:tcPr>
            <w:tcW w:type="dxa" w:w="4824"/>
          </w:tcPr>
          <w:p>
            <w:r>
              <w:rPr>
                <w:sz w:val="17"/>
              </w:rPr>
              <w:t>Drug substance and drug product supply</w:t>
            </w:r>
          </w:p>
        </w:tc>
      </w:tr>
      <w:tr>
        <w:tc>
          <w:tcPr>
            <w:tcW w:type="dxa" w:w="4824"/>
          </w:tcPr>
          <w:p>
            <w:r>
              <w:rPr>
                <w:sz w:val="17"/>
              </w:rPr>
              <w:t>Payers and PBMs</w:t>
            </w:r>
          </w:p>
        </w:tc>
        <w:tc>
          <w:tcPr>
            <w:tcW w:type="dxa" w:w="4824"/>
          </w:tcPr>
          <w:p>
            <w:r>
              <w:rPr>
                <w:sz w:val="17"/>
              </w:rPr>
              <w:t>Coverage and formulary position at launch</w:t>
            </w:r>
          </w:p>
        </w:tc>
      </w:tr>
    </w:tbl>
    <w:p/>
    <w:p>
      <w:pPr>
        <w:spacing w:before="320"/>
      </w:pPr>
      <w:r>
        <w:rPr>
          <w:b/>
          <w:color w:val="12304A"/>
          <w:sz w:val="28"/>
        </w:rPr>
        <w:t>12. Budget Authorization</w:t>
      </w:r>
    </w:p>
    <w:p>
      <w:r>
        <w:t>The authorized ceiling is $243,040,000: a base program of $217,000,000 plus a 12% contingency reserve of $26,040,000. The ceiling is a ceiling, not an appropriation — see §13.</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Cost pool</w:t>
            </w:r>
          </w:p>
        </w:tc>
        <w:tc>
          <w:tcPr>
            <w:tcW w:type="dxa" w:w="4824"/>
          </w:tcPr>
          <w:p>
            <w:r>
              <w:rPr>
                <w:b/>
                <w:sz w:val="17"/>
              </w:rPr>
              <w:t>Amount</w:t>
            </w:r>
          </w:p>
        </w:tc>
      </w:tr>
      <w:tr>
        <w:tc>
          <w:tcPr>
            <w:tcW w:type="dxa" w:w="4824"/>
          </w:tcPr>
          <w:p>
            <w:r>
              <w:rPr>
                <w:sz w:val="17"/>
              </w:rPr>
              <w:t>Nonclinical pharmacology &amp; GLP toxicology</w:t>
            </w:r>
          </w:p>
        </w:tc>
        <w:tc>
          <w:tcPr>
            <w:tcW w:type="dxa" w:w="4824"/>
          </w:tcPr>
          <w:p>
            <w:r>
              <w:rPr>
                <w:sz w:val="17"/>
              </w:rPr>
              <w:t>$8,500,000</w:t>
            </w:r>
          </w:p>
        </w:tc>
      </w:tr>
      <w:tr>
        <w:tc>
          <w:tcPr>
            <w:tcW w:type="dxa" w:w="4824"/>
          </w:tcPr>
          <w:p>
            <w:r>
              <w:rPr>
                <w:sz w:val="17"/>
              </w:rPr>
              <w:t>CMC — early development</w:t>
            </w:r>
          </w:p>
        </w:tc>
        <w:tc>
          <w:tcPr>
            <w:tcW w:type="dxa" w:w="4824"/>
          </w:tcPr>
          <w:p>
            <w:r>
              <w:rPr>
                <w:sz w:val="17"/>
              </w:rPr>
              <w:t>$6,200,000</w:t>
            </w:r>
          </w:p>
        </w:tc>
      </w:tr>
      <w:tr>
        <w:tc>
          <w:tcPr>
            <w:tcW w:type="dxa" w:w="4824"/>
          </w:tcPr>
          <w:p>
            <w:r>
              <w:rPr>
                <w:sz w:val="17"/>
              </w:rPr>
              <w:t>IND-enabling package &amp; submission</w:t>
            </w:r>
          </w:p>
        </w:tc>
        <w:tc>
          <w:tcPr>
            <w:tcW w:type="dxa" w:w="4824"/>
          </w:tcPr>
          <w:p>
            <w:r>
              <w:rPr>
                <w:sz w:val="17"/>
              </w:rPr>
              <w:t>$3,800,000</w:t>
            </w:r>
          </w:p>
        </w:tc>
      </w:tr>
      <w:tr>
        <w:tc>
          <w:tcPr>
            <w:tcW w:type="dxa" w:w="4824"/>
          </w:tcPr>
          <w:p>
            <w:r>
              <w:rPr>
                <w:sz w:val="17"/>
              </w:rPr>
              <w:t>Phase 1 clinical</w:t>
            </w:r>
          </w:p>
        </w:tc>
        <w:tc>
          <w:tcPr>
            <w:tcW w:type="dxa" w:w="4824"/>
          </w:tcPr>
          <w:p>
            <w:r>
              <w:rPr>
                <w:sz w:val="17"/>
              </w:rPr>
              <w:t>$8,500,000</w:t>
            </w:r>
          </w:p>
        </w:tc>
      </w:tr>
      <w:tr>
        <w:tc>
          <w:tcPr>
            <w:tcW w:type="dxa" w:w="4824"/>
          </w:tcPr>
          <w:p>
            <w:r>
              <w:rPr>
                <w:sz w:val="17"/>
              </w:rPr>
              <w:t>Phase 2 clinical</w:t>
            </w:r>
          </w:p>
        </w:tc>
        <w:tc>
          <w:tcPr>
            <w:tcW w:type="dxa" w:w="4824"/>
          </w:tcPr>
          <w:p>
            <w:r>
              <w:rPr>
                <w:sz w:val="17"/>
              </w:rPr>
              <w:t>$38,000,000</w:t>
            </w:r>
          </w:p>
        </w:tc>
      </w:tr>
      <w:tr>
        <w:tc>
          <w:tcPr>
            <w:tcW w:type="dxa" w:w="4824"/>
          </w:tcPr>
          <w:p>
            <w:r>
              <w:rPr>
                <w:sz w:val="17"/>
              </w:rPr>
              <w:t>Phase 3 clinical</w:t>
            </w:r>
          </w:p>
        </w:tc>
        <w:tc>
          <w:tcPr>
            <w:tcW w:type="dxa" w:w="4824"/>
          </w:tcPr>
          <w:p>
            <w:r>
              <w:rPr>
                <w:sz w:val="17"/>
              </w:rPr>
              <w:t>$109,100,000</w:t>
            </w:r>
          </w:p>
        </w:tc>
      </w:tr>
      <w:tr>
        <w:tc>
          <w:tcPr>
            <w:tcW w:type="dxa" w:w="4824"/>
          </w:tcPr>
          <w:p>
            <w:r>
              <w:rPr>
                <w:sz w:val="17"/>
              </w:rPr>
              <w:t>NDA preparation &amp; review support</w:t>
            </w:r>
          </w:p>
        </w:tc>
        <w:tc>
          <w:tcPr>
            <w:tcW w:type="dxa" w:w="4824"/>
          </w:tcPr>
          <w:p>
            <w:r>
              <w:rPr>
                <w:sz w:val="17"/>
              </w:rPr>
              <w:t>$12,400,000</w:t>
            </w:r>
          </w:p>
        </w:tc>
      </w:tr>
      <w:tr>
        <w:tc>
          <w:tcPr>
            <w:tcW w:type="dxa" w:w="4824"/>
          </w:tcPr>
          <w:p>
            <w:r>
              <w:rPr>
                <w:sz w:val="17"/>
              </w:rPr>
              <w:t>CMC scale-up &amp; process validation</w:t>
            </w:r>
          </w:p>
        </w:tc>
        <w:tc>
          <w:tcPr>
            <w:tcW w:type="dxa" w:w="4824"/>
          </w:tcPr>
          <w:p>
            <w:r>
              <w:rPr>
                <w:sz w:val="17"/>
              </w:rPr>
              <w:t>$9,200,000</w:t>
            </w:r>
          </w:p>
        </w:tc>
      </w:tr>
      <w:tr>
        <w:tc>
          <w:tcPr>
            <w:tcW w:type="dxa" w:w="4824"/>
          </w:tcPr>
          <w:p>
            <w:r>
              <w:rPr>
                <w:sz w:val="17"/>
              </w:rPr>
              <w:t>Regulatory affairs</w:t>
            </w:r>
          </w:p>
        </w:tc>
        <w:tc>
          <w:tcPr>
            <w:tcW w:type="dxa" w:w="4824"/>
          </w:tcPr>
          <w:p>
            <w:r>
              <w:rPr>
                <w:sz w:val="17"/>
              </w:rPr>
              <w:t>$7,600,000</w:t>
            </w:r>
          </w:p>
        </w:tc>
      </w:tr>
      <w:tr>
        <w:tc>
          <w:tcPr>
            <w:tcW w:type="dxa" w:w="4824"/>
          </w:tcPr>
          <w:p>
            <w:r>
              <w:rPr>
                <w:sz w:val="17"/>
              </w:rPr>
              <w:t>Program management</w:t>
            </w:r>
          </w:p>
        </w:tc>
        <w:tc>
          <w:tcPr>
            <w:tcW w:type="dxa" w:w="4824"/>
          </w:tcPr>
          <w:p>
            <w:r>
              <w:rPr>
                <w:sz w:val="17"/>
              </w:rPr>
              <w:t>$5,300,000</w:t>
            </w:r>
          </w:p>
        </w:tc>
      </w:tr>
      <w:tr>
        <w:tc>
          <w:tcPr>
            <w:tcW w:type="dxa" w:w="4824"/>
          </w:tcPr>
          <w:p>
            <w:r>
              <w:rPr>
                <w:sz w:val="17"/>
              </w:rPr>
              <w:t>External fees, advisors &amp; other non-labor</w:t>
            </w:r>
          </w:p>
        </w:tc>
        <w:tc>
          <w:tcPr>
            <w:tcW w:type="dxa" w:w="4824"/>
          </w:tcPr>
          <w:p>
            <w:r>
              <w:rPr>
                <w:sz w:val="17"/>
              </w:rPr>
              <w:t>$8,400,000</w:t>
            </w:r>
          </w:p>
        </w:tc>
      </w:tr>
      <w:tr>
        <w:tc>
          <w:tcPr>
            <w:tcW w:type="dxa" w:w="4824"/>
          </w:tcPr>
          <w:p>
            <w:r>
              <w:rPr>
                <w:sz w:val="17"/>
              </w:rPr>
              <w:t>Base program</w:t>
            </w:r>
          </w:p>
        </w:tc>
        <w:tc>
          <w:tcPr>
            <w:tcW w:type="dxa" w:w="4824"/>
          </w:tcPr>
          <w:p>
            <w:r>
              <w:rPr>
                <w:sz w:val="17"/>
              </w:rPr>
              <w:t>$217,000,000</w:t>
            </w:r>
          </w:p>
        </w:tc>
      </w:tr>
      <w:tr>
        <w:tc>
          <w:tcPr>
            <w:tcW w:type="dxa" w:w="4824"/>
          </w:tcPr>
          <w:p>
            <w:r>
              <w:rPr>
                <w:sz w:val="17"/>
              </w:rPr>
              <w:t>Contingency reserve (12%)</w:t>
            </w:r>
          </w:p>
        </w:tc>
        <w:tc>
          <w:tcPr>
            <w:tcW w:type="dxa" w:w="4824"/>
          </w:tcPr>
          <w:p>
            <w:r>
              <w:rPr>
                <w:sz w:val="17"/>
              </w:rPr>
              <w:t>$26,040,000</w:t>
            </w:r>
          </w:p>
        </w:tc>
      </w:tr>
      <w:tr>
        <w:tc>
          <w:tcPr>
            <w:tcW w:type="dxa" w:w="4824"/>
          </w:tcPr>
          <w:p>
            <w:r>
              <w:rPr>
                <w:sz w:val="17"/>
              </w:rPr>
              <w:t>Authorized ceiling</w:t>
            </w:r>
          </w:p>
        </w:tc>
        <w:tc>
          <w:tcPr>
            <w:tcW w:type="dxa" w:w="4824"/>
          </w:tcPr>
          <w:p>
            <w:r>
              <w:rPr>
                <w:sz w:val="17"/>
              </w:rPr>
              <w:t>$243,040,000</w:t>
            </w:r>
          </w:p>
        </w:tc>
      </w:tr>
    </w:tbl>
    <w:p/>
    <w:p>
      <w:r>
        <w:t>Phase 3 alone is $109,100,000, 50% of the base program. That concentration is the reason Gate 4 carries the weight it does: nearly half the program's cost sits behind a single authorization.</w:t>
      </w:r>
    </w:p>
    <w:p>
      <w:pPr>
        <w:spacing w:before="320"/>
      </w:pPr>
      <w:r>
        <w:rPr>
          <w:b/>
          <w:color w:val="12304A"/>
          <w:sz w:val="28"/>
        </w:rPr>
        <w:t>13. Funding Release Mechanism</w:t>
      </w:r>
    </w:p>
    <w:p>
      <w:r>
        <w:t>No stage is funded before the gate preceding it carries. Each tranche is released on the gate decision and is spendable only against that stage's scope.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Tranche</w:t>
            </w:r>
          </w:p>
        </w:tc>
        <w:tc>
          <w:tcPr>
            <w:tcW w:type="dxa" w:w="3216"/>
          </w:tcPr>
          <w:p>
            <w:r>
              <w:rPr>
                <w:b/>
                <w:sz w:val="17"/>
              </w:rPr>
              <w:t>Released at</w:t>
            </w:r>
          </w:p>
        </w:tc>
        <w:tc>
          <w:tcPr>
            <w:tcW w:type="dxa" w:w="3216"/>
          </w:tcPr>
          <w:p>
            <w:r>
              <w:rPr>
                <w:b/>
                <w:sz w:val="17"/>
              </w:rPr>
              <w:t>Amount</w:t>
            </w:r>
          </w:p>
        </w:tc>
      </w:tr>
      <w:tr>
        <w:tc>
          <w:tcPr>
            <w:tcW w:type="dxa" w:w="3216"/>
          </w:tcPr>
          <w:p>
            <w:r>
              <w:rPr>
                <w:sz w:val="17"/>
              </w:rPr>
              <w:t>Stage 1 — Nonclinical &amp; CMC</w:t>
            </w:r>
          </w:p>
        </w:tc>
        <w:tc>
          <w:tcPr>
            <w:tcW w:type="dxa" w:w="3216"/>
          </w:tcPr>
          <w:p>
            <w:r>
              <w:rPr>
                <w:sz w:val="17"/>
              </w:rPr>
              <w:t>Gate 0</w:t>
            </w:r>
          </w:p>
        </w:tc>
        <w:tc>
          <w:tcPr>
            <w:tcW w:type="dxa" w:w="3216"/>
          </w:tcPr>
          <w:p>
            <w:r>
              <w:rPr>
                <w:sz w:val="17"/>
              </w:rPr>
              <w:t>$17,400,000</w:t>
            </w:r>
          </w:p>
        </w:tc>
      </w:tr>
      <w:tr>
        <w:tc>
          <w:tcPr>
            <w:tcW w:type="dxa" w:w="3216"/>
          </w:tcPr>
          <w:p>
            <w:r>
              <w:rPr>
                <w:sz w:val="17"/>
              </w:rPr>
              <w:t>Stage 2 — IND &amp; Phase 1</w:t>
            </w:r>
          </w:p>
        </w:tc>
        <w:tc>
          <w:tcPr>
            <w:tcW w:type="dxa" w:w="3216"/>
          </w:tcPr>
          <w:p>
            <w:r>
              <w:rPr>
                <w:sz w:val="17"/>
              </w:rPr>
              <w:t>Gate 1</w:t>
            </w:r>
          </w:p>
        </w:tc>
        <w:tc>
          <w:tcPr>
            <w:tcW w:type="dxa" w:w="3216"/>
          </w:tcPr>
          <w:p>
            <w:r>
              <w:rPr>
                <w:sz w:val="17"/>
              </w:rPr>
              <w:t>$16,200,000</w:t>
            </w:r>
          </w:p>
        </w:tc>
      </w:tr>
      <w:tr>
        <w:tc>
          <w:tcPr>
            <w:tcW w:type="dxa" w:w="3216"/>
          </w:tcPr>
          <w:p>
            <w:r>
              <w:rPr>
                <w:sz w:val="17"/>
              </w:rPr>
              <w:t>Stage 3 — Phase 2</w:t>
            </w:r>
          </w:p>
        </w:tc>
        <w:tc>
          <w:tcPr>
            <w:tcW w:type="dxa" w:w="3216"/>
          </w:tcPr>
          <w:p>
            <w:r>
              <w:rPr>
                <w:sz w:val="17"/>
              </w:rPr>
              <w:t>Gate 3</w:t>
            </w:r>
          </w:p>
        </w:tc>
        <w:tc>
          <w:tcPr>
            <w:tcW w:type="dxa" w:w="3216"/>
          </w:tcPr>
          <w:p>
            <w:r>
              <w:rPr>
                <w:sz w:val="17"/>
              </w:rPr>
              <w:t>$41,800,000</w:t>
            </w:r>
          </w:p>
        </w:tc>
      </w:tr>
      <w:tr>
        <w:tc>
          <w:tcPr>
            <w:tcW w:type="dxa" w:w="3216"/>
          </w:tcPr>
          <w:p>
            <w:r>
              <w:rPr>
                <w:sz w:val="17"/>
              </w:rPr>
              <w:t>Stage 4 — Phase 3 &amp; NDA</w:t>
            </w:r>
          </w:p>
        </w:tc>
        <w:tc>
          <w:tcPr>
            <w:tcW w:type="dxa" w:w="3216"/>
          </w:tcPr>
          <w:p>
            <w:r>
              <w:rPr>
                <w:sz w:val="17"/>
              </w:rPr>
              <w:t>Gate 4</w:t>
            </w:r>
          </w:p>
        </w:tc>
        <w:tc>
          <w:tcPr>
            <w:tcW w:type="dxa" w:w="3216"/>
          </w:tcPr>
          <w:p>
            <w:r>
              <w:rPr>
                <w:sz w:val="17"/>
              </w:rPr>
              <w:t>$125,800,000</w:t>
            </w:r>
          </w:p>
        </w:tc>
      </w:tr>
      <w:tr>
        <w:tc>
          <w:tcPr>
            <w:tcW w:type="dxa" w:w="3216"/>
          </w:tcPr>
          <w:p>
            <w:r>
              <w:rPr>
                <w:sz w:val="17"/>
              </w:rPr>
              <w:t>Stage 5 — Review &amp; Launch</w:t>
            </w:r>
          </w:p>
        </w:tc>
        <w:tc>
          <w:tcPr>
            <w:tcW w:type="dxa" w:w="3216"/>
          </w:tcPr>
          <w:p>
            <w:r>
              <w:rPr>
                <w:sz w:val="17"/>
              </w:rPr>
              <w:t>Gate 5</w:t>
            </w:r>
          </w:p>
        </w:tc>
        <w:tc>
          <w:tcPr>
            <w:tcW w:type="dxa" w:w="3216"/>
          </w:tcPr>
          <w:p>
            <w:r>
              <w:rPr>
                <w:sz w:val="17"/>
              </w:rPr>
              <w:t>$15,800,000</w:t>
            </w:r>
          </w:p>
        </w:tc>
      </w:tr>
      <w:tr>
        <w:tc>
          <w:tcPr>
            <w:tcW w:type="dxa" w:w="3216"/>
          </w:tcPr>
          <w:p>
            <w:r>
              <w:rPr>
                <w:sz w:val="17"/>
              </w:rPr>
              <w:t>Total released across all gates</w:t>
            </w:r>
          </w:p>
        </w:tc>
        <w:tc>
          <w:tcPr>
            <w:tcW w:type="dxa" w:w="3216"/>
          </w:tcPr>
          <w:p>
            <w:r>
              <w:rPr>
                <w:sz w:val="17"/>
              </w:rPr>
              <w:t>—</w:t>
            </w:r>
          </w:p>
        </w:tc>
        <w:tc>
          <w:tcPr>
            <w:tcW w:type="dxa" w:w="3216"/>
          </w:tcPr>
          <w:p>
            <w:r>
              <w:rPr>
                <w:sz w:val="17"/>
              </w:rPr>
              <w:t>$217,000,000</w:t>
            </w:r>
          </w:p>
        </w:tc>
      </w:tr>
    </w:tbl>
    <w:p/>
    <w:p>
      <w:pPr>
        <w:spacing w:before="120"/>
        <w:ind w:left="360"/>
      </w:pPr>
      <w:r>
        <w:rPr>
          <w:i/>
          <w:color w:val="12304A"/>
          <w:sz w:val="20"/>
        </w:rPr>
        <w:t>Tranches sum exactly to the base program. Contingency is not in any tranche — it is drawn separately under §14, which is what makes a contingency draw visible rather than absorbed into a stage budget.</w:t>
      </w:r>
    </w:p>
    <w:p>
      <w:pPr>
        <w:spacing w:before="320"/>
      </w:pPr>
      <w:r>
        <w:rPr>
          <w:b/>
          <w:color w:val="12304A"/>
          <w:sz w:val="28"/>
        </w:rPr>
        <w:t>14. Contingency &amp; Financial Controls</w:t>
      </w:r>
    </w:p>
    <w:p>
      <w:r>
        <w:t>The $26,040,000 reserve is held at program level and released by the Committee against a named risk or an approved change. It is not a stage-level buffer and functional leads cannot draw on it.</w:t>
      </w:r>
    </w:p>
    <w:p>
      <w:pPr>
        <w:spacing w:before="160"/>
      </w:pPr>
      <w:r>
        <w:rPr>
          <w:b/>
          <w:color w:val="12304A"/>
          <w:sz w:val="21"/>
        </w:rPr>
        <w:t>Draws to the status date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Draw</w:t>
            </w:r>
          </w:p>
        </w:tc>
        <w:tc>
          <w:tcPr>
            <w:tcW w:type="dxa" w:w="4824"/>
          </w:tcPr>
          <w:p>
            <w:r>
              <w:rPr>
                <w:b/>
                <w:sz w:val="17"/>
              </w:rPr>
              <w:t>Amount</w:t>
            </w:r>
          </w:p>
        </w:tc>
      </w:tr>
      <w:tr>
        <w:tc>
          <w:tcPr>
            <w:tcW w:type="dxa" w:w="4824"/>
          </w:tcPr>
          <w:p>
            <w:r>
              <w:rPr>
                <w:sz w:val="17"/>
              </w:rPr>
              <w:t>CR-02 cardiovascular outcomes sub-study</w:t>
            </w:r>
          </w:p>
        </w:tc>
        <w:tc>
          <w:tcPr>
            <w:tcW w:type="dxa" w:w="4824"/>
          </w:tcPr>
          <w:p>
            <w:r>
              <w:rPr>
                <w:sz w:val="17"/>
              </w:rPr>
              <w:t>$7,200,000</w:t>
            </w:r>
          </w:p>
        </w:tc>
      </w:tr>
      <w:tr>
        <w:tc>
          <w:tcPr>
            <w:tcW w:type="dxa" w:w="4824"/>
          </w:tcPr>
          <w:p>
            <w:r>
              <w:rPr>
                <w:sz w:val="17"/>
              </w:rPr>
              <w:t>I-02 CMC method transfer recovery</w:t>
            </w:r>
          </w:p>
        </w:tc>
        <w:tc>
          <w:tcPr>
            <w:tcW w:type="dxa" w:w="4824"/>
          </w:tcPr>
          <w:p>
            <w:r>
              <w:rPr>
                <w:sz w:val="17"/>
              </w:rPr>
              <w:t>$1,850,000</w:t>
            </w:r>
          </w:p>
        </w:tc>
      </w:tr>
      <w:tr>
        <w:tc>
          <w:tcPr>
            <w:tcW w:type="dxa" w:w="4824"/>
          </w:tcPr>
          <w:p>
            <w:r>
              <w:rPr>
                <w:sz w:val="17"/>
              </w:rPr>
              <w:t>Total drawn</w:t>
            </w:r>
          </w:p>
        </w:tc>
        <w:tc>
          <w:tcPr>
            <w:tcW w:type="dxa" w:w="4824"/>
          </w:tcPr>
          <w:p>
            <w:r>
              <w:rPr>
                <w:sz w:val="17"/>
              </w:rPr>
              <w:t>$9,050,000</w:t>
            </w:r>
          </w:p>
        </w:tc>
      </w:tr>
      <w:tr>
        <w:tc>
          <w:tcPr>
            <w:tcW w:type="dxa" w:w="4824"/>
          </w:tcPr>
          <w:p>
            <w:r>
              <w:rPr>
                <w:sz w:val="17"/>
              </w:rPr>
              <w:t>Reserve remaining</w:t>
            </w:r>
          </w:p>
        </w:tc>
        <w:tc>
          <w:tcPr>
            <w:tcW w:type="dxa" w:w="4824"/>
          </w:tcPr>
          <w:p>
            <w:r>
              <w:rPr>
                <w:sz w:val="17"/>
              </w:rPr>
              <w:t>$16,990,000</w:t>
            </w:r>
          </w:p>
        </w:tc>
      </w:tr>
    </w:tbl>
    <w:p/>
    <w:p>
      <w:pPr>
        <w:spacing w:before="160"/>
      </w:pPr>
      <w:r>
        <w:rPr>
          <w:b/>
          <w:color w:val="12304A"/>
          <w:sz w:val="21"/>
        </w:rPr>
        <w:t>Spend to the status date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Period</w:t>
            </w:r>
          </w:p>
        </w:tc>
        <w:tc>
          <w:tcPr>
            <w:tcW w:type="dxa" w:w="4824"/>
          </w:tcPr>
          <w:p>
            <w:r>
              <w:rPr>
                <w:b/>
                <w:sz w:val="17"/>
              </w:rPr>
              <w:t>Amount</w:t>
            </w:r>
          </w:p>
        </w:tc>
      </w:tr>
      <w:tr>
        <w:tc>
          <w:tcPr>
            <w:tcW w:type="dxa" w:w="4824"/>
          </w:tcPr>
          <w:p>
            <w:r>
              <w:rPr>
                <w:sz w:val="17"/>
              </w:rPr>
              <w:t>Stages 1-3 actual</w:t>
            </w:r>
          </w:p>
        </w:tc>
        <w:tc>
          <w:tcPr>
            <w:tcW w:type="dxa" w:w="4824"/>
          </w:tcPr>
          <w:p>
            <w:r>
              <w:rPr>
                <w:sz w:val="17"/>
              </w:rPr>
              <w:t>$74,600,000</w:t>
            </w:r>
          </w:p>
        </w:tc>
      </w:tr>
      <w:tr>
        <w:tc>
          <w:tcPr>
            <w:tcW w:type="dxa" w:w="4824"/>
          </w:tcPr>
          <w:p>
            <w:r>
              <w:rPr>
                <w:sz w:val="17"/>
              </w:rPr>
              <w:t>Stage 4 to date</w:t>
            </w:r>
          </w:p>
        </w:tc>
        <w:tc>
          <w:tcPr>
            <w:tcW w:type="dxa" w:w="4824"/>
          </w:tcPr>
          <w:p>
            <w:r>
              <w:rPr>
                <w:sz w:val="17"/>
              </w:rPr>
              <w:t>$26,400,000</w:t>
            </w:r>
          </w:p>
        </w:tc>
      </w:tr>
      <w:tr>
        <w:tc>
          <w:tcPr>
            <w:tcW w:type="dxa" w:w="4824"/>
          </w:tcPr>
          <w:p>
            <w:r>
              <w:rPr>
                <w:sz w:val="17"/>
              </w:rPr>
              <w:t>Total spend</w:t>
            </w:r>
          </w:p>
        </w:tc>
        <w:tc>
          <w:tcPr>
            <w:tcW w:type="dxa" w:w="4824"/>
          </w:tcPr>
          <w:p>
            <w:r>
              <w:rPr>
                <w:sz w:val="17"/>
              </w:rPr>
              <w:t>$101,000,000</w:t>
            </w:r>
          </w:p>
        </w:tc>
      </w:tr>
    </w:tbl>
    <w:p/>
    <w:p>
      <w:r>
        <w:t>The largest draw, $7,200,000, funds the cardiovascular sub-study approved under CR-02. It is recorded as a change with a contingency draw rather than as a Phase 3 overrun, because the scope was added deliberately and the distinction matters to anyone reading variance later.</w:t>
      </w:r>
    </w:p>
    <w:p>
      <w:pPr>
        <w:spacing w:before="320"/>
      </w:pPr>
      <w:r>
        <w:rPr>
          <w:b/>
          <w:color w:val="12304A"/>
          <w:sz w:val="28"/>
        </w:rPr>
        <w:t>15. Regulatory &amp; Compliance Framework</w:t>
      </w:r>
    </w:p>
    <w:p>
      <w:r>
        <w:t>The program files a 505(b)(1) New Drug Application — new molecular entity with the Center for Drug Evaluation and Research. Standard review, 10-month PDUFA goal from filing acceptance (A-02).</w:t>
      </w:r>
    </w:p>
    <w:p>
      <w:pPr>
        <w:spacing w:before="160"/>
      </w:pPr>
      <w:r>
        <w:rPr>
          <w:b/>
          <w:color w:val="12304A"/>
          <w:sz w:val="21"/>
        </w:rPr>
        <w:t>Agency interactions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Meeting</w:t>
            </w:r>
          </w:p>
        </w:tc>
        <w:tc>
          <w:tcPr>
            <w:tcW w:type="dxa" w:w="2412"/>
          </w:tcPr>
          <w:p>
            <w:r>
              <w:rPr>
                <w:b/>
                <w:sz w:val="17"/>
              </w:rPr>
              <w:t>Date</w:t>
            </w:r>
          </w:p>
        </w:tc>
        <w:tc>
          <w:tcPr>
            <w:tcW w:type="dxa" w:w="2412"/>
          </w:tcPr>
          <w:p>
            <w:r>
              <w:rPr>
                <w:b/>
                <w:sz w:val="17"/>
              </w:rPr>
              <w:t>Status</w:t>
            </w:r>
          </w:p>
        </w:tc>
        <w:tc>
          <w:tcPr>
            <w:tcW w:type="dxa" w:w="2412"/>
          </w:tcPr>
          <w:p>
            <w:r>
              <w:rPr>
                <w:b/>
                <w:sz w:val="17"/>
              </w:rPr>
              <w:t>Purpose</w:t>
            </w:r>
          </w:p>
        </w:tc>
      </w:tr>
      <w:tr>
        <w:tc>
          <w:tcPr>
            <w:tcW w:type="dxa" w:w="2412"/>
          </w:tcPr>
          <w:p>
            <w:r>
              <w:rPr>
                <w:sz w:val="17"/>
              </w:rPr>
              <w:t>Pre-IND (Type B)</w:t>
            </w:r>
          </w:p>
        </w:tc>
        <w:tc>
          <w:tcPr>
            <w:tcW w:type="dxa" w:w="2412"/>
          </w:tcPr>
          <w:p>
            <w:r>
              <w:rPr>
                <w:sz w:val="17"/>
              </w:rPr>
              <w:t>14 May 2023</w:t>
            </w:r>
          </w:p>
        </w:tc>
        <w:tc>
          <w:tcPr>
            <w:tcW w:type="dxa" w:w="2412"/>
          </w:tcPr>
          <w:p>
            <w:r>
              <w:rPr>
                <w:sz w:val="17"/>
              </w:rPr>
              <w:t>held</w:t>
            </w:r>
          </w:p>
        </w:tc>
        <w:tc>
          <w:tcPr>
            <w:tcW w:type="dxa" w:w="2412"/>
          </w:tcPr>
          <w:p>
            <w:r>
              <w:rPr>
                <w:sz w:val="17"/>
              </w:rPr>
              <w:t>Nonclinical package sufficiency; first-in-human design; CMC expectations</w:t>
            </w:r>
          </w:p>
        </w:tc>
      </w:tr>
      <w:tr>
        <w:tc>
          <w:tcPr>
            <w:tcW w:type="dxa" w:w="2412"/>
          </w:tcPr>
          <w:p>
            <w:r>
              <w:rPr>
                <w:sz w:val="17"/>
              </w:rPr>
              <w:t>End-of-Phase-1 (Type B)</w:t>
            </w:r>
          </w:p>
        </w:tc>
        <w:tc>
          <w:tcPr>
            <w:tcW w:type="dxa" w:w="2412"/>
          </w:tcPr>
          <w:p>
            <w:r>
              <w:rPr>
                <w:sz w:val="17"/>
              </w:rPr>
              <w:t>22 Apr 2024</w:t>
            </w:r>
          </w:p>
        </w:tc>
        <w:tc>
          <w:tcPr>
            <w:tcW w:type="dxa" w:w="2412"/>
          </w:tcPr>
          <w:p>
            <w:r>
              <w:rPr>
                <w:sz w:val="17"/>
              </w:rPr>
              <w:t>held</w:t>
            </w:r>
          </w:p>
        </w:tc>
        <w:tc>
          <w:tcPr>
            <w:tcW w:type="dxa" w:w="2412"/>
          </w:tcPr>
          <w:p>
            <w:r>
              <w:rPr>
                <w:sz w:val="17"/>
              </w:rPr>
              <w:t>Phase 2 dose selection and dose-ranging design</w:t>
            </w:r>
          </w:p>
        </w:tc>
      </w:tr>
      <w:tr>
        <w:tc>
          <w:tcPr>
            <w:tcW w:type="dxa" w:w="2412"/>
          </w:tcPr>
          <w:p>
            <w:r>
              <w:rPr>
                <w:sz w:val="17"/>
              </w:rPr>
              <w:t>End-of-Phase-2 (Type B)</w:t>
            </w:r>
          </w:p>
        </w:tc>
        <w:tc>
          <w:tcPr>
            <w:tcW w:type="dxa" w:w="2412"/>
          </w:tcPr>
          <w:p>
            <w:r>
              <w:rPr>
                <w:sz w:val="17"/>
              </w:rPr>
              <w:t>19 May 2026</w:t>
            </w:r>
          </w:p>
        </w:tc>
        <w:tc>
          <w:tcPr>
            <w:tcW w:type="dxa" w:w="2412"/>
          </w:tcPr>
          <w:p>
            <w:r>
              <w:rPr>
                <w:sz w:val="17"/>
              </w:rPr>
              <w:t>held</w:t>
            </w:r>
          </w:p>
        </w:tc>
        <w:tc>
          <w:tcPr>
            <w:tcW w:type="dxa" w:w="2412"/>
          </w:tcPr>
          <w:p>
            <w:r>
              <w:rPr>
                <w:sz w:val="17"/>
              </w:rPr>
              <w:t>Pivotal design, co-primary endpoints, CV safety expectations, statistical plan</w:t>
            </w:r>
          </w:p>
        </w:tc>
      </w:tr>
      <w:tr>
        <w:tc>
          <w:tcPr>
            <w:tcW w:type="dxa" w:w="2412"/>
          </w:tcPr>
          <w:p>
            <w:r>
              <w:rPr>
                <w:sz w:val="17"/>
              </w:rPr>
              <w:t>Pre-NDA (Type B)</w:t>
            </w:r>
          </w:p>
        </w:tc>
        <w:tc>
          <w:tcPr>
            <w:tcW w:type="dxa" w:w="2412"/>
          </w:tcPr>
          <w:p>
            <w:r>
              <w:rPr>
                <w:sz w:val="17"/>
              </w:rPr>
              <w:t>10 Aug 2028</w:t>
            </w:r>
          </w:p>
        </w:tc>
        <w:tc>
          <w:tcPr>
            <w:tcW w:type="dxa" w:w="2412"/>
          </w:tcPr>
          <w:p>
            <w:r>
              <w:rPr>
                <w:sz w:val="17"/>
              </w:rPr>
              <w:t>planned</w:t>
            </w:r>
          </w:p>
        </w:tc>
        <w:tc>
          <w:tcPr>
            <w:tcW w:type="dxa" w:w="2412"/>
          </w:tcPr>
          <w:p>
            <w:r>
              <w:rPr>
                <w:sz w:val="17"/>
              </w:rPr>
              <w:t>NDA content and format, integrated summaries, labeling strategy</w:t>
            </w:r>
          </w:p>
        </w:tc>
      </w:tr>
    </w:tbl>
    <w:p/>
    <w:p>
      <w:r>
        <w:t>The End-of-Phase-2 meeting on 19 May 2026 is the single most consequential interaction in the program: it fixed the pivotal design, the co-primary endpoints and the cardiovascular safety expectation that produced CR-02. Gate 4 was scheduled deliberately after it, so that the Phase 3 authorization was taken with the agency's position known rather than assumed.</w:t>
      </w:r>
    </w:p>
    <w:p>
      <w:pPr>
        <w:spacing w:before="160"/>
      </w:pPr>
      <w:r>
        <w:rPr>
          <w:b/>
          <w:color w:val="12304A"/>
          <w:sz w:val="21"/>
        </w:rPr>
        <w:t>Compliance obligations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Constraint</w:t>
            </w:r>
          </w:p>
        </w:tc>
      </w:tr>
      <w:tr>
        <w:tc>
          <w:tcPr>
            <w:tcW w:type="dxa" w:w="4824"/>
          </w:tcPr>
          <w:p>
            <w:r>
              <w:rPr>
                <w:sz w:val="17"/>
              </w:rPr>
              <w:t>C-01</w:t>
            </w:r>
          </w:p>
        </w:tc>
        <w:tc>
          <w:tcPr>
            <w:tcW w:type="dxa" w:w="4824"/>
          </w:tcPr>
          <w:p>
            <w:r>
              <w:rPr>
                <w:sz w:val="17"/>
              </w:rPr>
              <w:t>GLP for nonclinical safety studies, GCP (ICH E6) for all clinical conduct, and cGMP for all material used in humans. Non-negotiable and not tradeable against schedule.</w:t>
            </w:r>
          </w:p>
        </w:tc>
      </w:tr>
      <w:tr>
        <w:tc>
          <w:tcPr>
            <w:tcW w:type="dxa" w:w="4824"/>
          </w:tcPr>
          <w:p>
            <w:r>
              <w:rPr>
                <w:sz w:val="17"/>
              </w:rPr>
              <w:t>C-02</w:t>
            </w:r>
          </w:p>
        </w:tc>
        <w:tc>
          <w:tcPr>
            <w:tcW w:type="dxa" w:w="4824"/>
          </w:tcPr>
          <w:p>
            <w:r>
              <w:rPr>
                <w:sz w:val="17"/>
              </w:rPr>
              <w:t>21 CFR Part 11 compliance for all electronic records and signatures in the clinical and manufacturing systems.</w:t>
            </w:r>
          </w:p>
        </w:tc>
      </w:tr>
      <w:tr>
        <w:tc>
          <w:tcPr>
            <w:tcW w:type="dxa" w:w="4824"/>
          </w:tcPr>
          <w:p>
            <w:r>
              <w:rPr>
                <w:sz w:val="17"/>
              </w:rPr>
              <w:t>C-03</w:t>
            </w:r>
          </w:p>
        </w:tc>
        <w:tc>
          <w:tcPr>
            <w:tcW w:type="dxa" w:w="4824"/>
          </w:tcPr>
          <w:p>
            <w:r>
              <w:rPr>
                <w:sz w:val="17"/>
              </w:rPr>
              <w:t>IRB approval required at every site before activation; no screening ahead of approval.</w:t>
            </w:r>
          </w:p>
        </w:tc>
      </w:tr>
      <w:tr>
        <w:tc>
          <w:tcPr>
            <w:tcW w:type="dxa" w:w="4824"/>
          </w:tcPr>
          <w:p>
            <w:r>
              <w:rPr>
                <w:sz w:val="17"/>
              </w:rPr>
              <w:t>C-04</w:t>
            </w:r>
          </w:p>
        </w:tc>
        <w:tc>
          <w:tcPr>
            <w:tcW w:type="dxa" w:w="4824"/>
          </w:tcPr>
          <w:p>
            <w:r>
              <w:rPr>
                <w:sz w:val="17"/>
              </w:rPr>
              <w:t>Serious adverse event reporting to FDA within the 7- and 15-day windows, independent of program governance.</w:t>
            </w:r>
          </w:p>
        </w:tc>
      </w:tr>
      <w:tr>
        <w:tc>
          <w:tcPr>
            <w:tcW w:type="dxa" w:w="4824"/>
          </w:tcPr>
          <w:p>
            <w:r>
              <w:rPr>
                <w:sz w:val="17"/>
              </w:rPr>
              <w:t>C-05</w:t>
            </w:r>
          </w:p>
        </w:tc>
        <w:tc>
          <w:tcPr>
            <w:tcW w:type="dxa" w:w="4824"/>
          </w:tcPr>
          <w:p>
            <w:r>
              <w:rPr>
                <w:sz w:val="17"/>
              </w:rPr>
              <w:t>The independent Data Monitoring Committee's stopping recommendations are binding and are not a Development Committee decision.</w:t>
            </w:r>
          </w:p>
        </w:tc>
      </w:tr>
    </w:tbl>
    <w:p/>
    <w:p>
      <w:pPr>
        <w:spacing w:before="120"/>
        <w:ind w:left="360"/>
      </w:pPr>
      <w:r>
        <w:rPr>
          <w:i/>
          <w:color w:val="12304A"/>
          <w:sz w:val="20"/>
        </w:rPr>
        <w:t>GxP is not a program variable. Good Laboratory Practice for nonclinical safety, Good Clinical Practice for clinical conduct and current Good Manufacturing Practice for material dosed in humans are regulatory obligations, not quality targets the program may trade against schedule or cost. A gate cannot authorize a deviation from any of them.</w:t>
      </w:r>
    </w:p>
    <w:p>
      <w:pPr>
        <w:spacing w:before="320"/>
      </w:pPr>
      <w:r>
        <w:rPr>
          <w:b/>
          <w:color w:val="12304A"/>
          <w:sz w:val="28"/>
        </w:rPr>
        <w:t>16. Risk Assessment</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Risk</w:t>
            </w:r>
          </w:p>
        </w:tc>
        <w:tc>
          <w:tcPr>
            <w:tcW w:type="dxa" w:w="1608"/>
          </w:tcPr>
          <w:p>
            <w:r>
              <w:rPr>
                <w:b/>
                <w:sz w:val="17"/>
              </w:rPr>
              <w:t>Severity</w:t>
            </w:r>
          </w:p>
        </w:tc>
        <w:tc>
          <w:tcPr>
            <w:tcW w:type="dxa" w:w="1608"/>
          </w:tcPr>
          <w:p>
            <w:r>
              <w:rPr>
                <w:b/>
                <w:sz w:val="17"/>
              </w:rPr>
              <w:t>Category</w:t>
            </w:r>
          </w:p>
        </w:tc>
        <w:tc>
          <w:tcPr>
            <w:tcW w:type="dxa" w:w="1608"/>
          </w:tcPr>
          <w:p>
            <w:r>
              <w:rPr>
                <w:b/>
                <w:sz w:val="17"/>
              </w:rPr>
              <w:t>Horizon</w:t>
            </w:r>
          </w:p>
        </w:tc>
        <w:tc>
          <w:tcPr>
            <w:tcW w:type="dxa" w:w="1608"/>
          </w:tcPr>
          <w:p>
            <w:r>
              <w:rPr>
                <w:b/>
                <w:sz w:val="17"/>
              </w:rPr>
              <w:t>Response</w:t>
            </w:r>
          </w:p>
        </w:tc>
      </w:tr>
      <w:tr>
        <w:tc>
          <w:tcPr>
            <w:tcW w:type="dxa" w:w="1608"/>
          </w:tcPr>
          <w:p>
            <w:r>
              <w:rPr>
                <w:sz w:val="17"/>
              </w:rPr>
              <w:t>R-01</w:t>
            </w:r>
          </w:p>
        </w:tc>
        <w:tc>
          <w:tcPr>
            <w:tcW w:type="dxa" w:w="1608"/>
          </w:tcPr>
          <w:p>
            <w:r>
              <w:rPr>
                <w:sz w:val="17"/>
              </w:rPr>
              <w:t>Phase 3 efficacy does not separate sufficiently from approved products in the class</w:t>
            </w:r>
          </w:p>
        </w:tc>
        <w:tc>
          <w:tcPr>
            <w:tcW w:type="dxa" w:w="1608"/>
          </w:tcPr>
          <w:p>
            <w:r>
              <w:rPr>
                <w:sz w:val="17"/>
              </w:rPr>
              <w:t>High</w:t>
            </w:r>
          </w:p>
        </w:tc>
        <w:tc>
          <w:tcPr>
            <w:tcW w:type="dxa" w:w="1608"/>
          </w:tcPr>
          <w:p>
            <w:r>
              <w:rPr>
                <w:sz w:val="17"/>
              </w:rPr>
              <w:t>Clinical</w:t>
            </w:r>
          </w:p>
        </w:tc>
        <w:tc>
          <w:tcPr>
            <w:tcW w:type="dxa" w:w="1608"/>
          </w:tcPr>
          <w:p>
            <w:r>
              <w:rPr>
                <w:sz w:val="17"/>
              </w:rPr>
              <w:t>Jun 2028</w:t>
            </w:r>
          </w:p>
        </w:tc>
        <w:tc>
          <w:tcPr>
            <w:tcW w:type="dxa" w:w="1608"/>
          </w:tcPr>
          <w:p>
            <w:r>
              <w:rPr>
                <w:sz w:val="17"/>
              </w:rPr>
              <w:t>Phase 2 dose-ranging carried a wider dose span than required for selection alone; the top dose was retained into Phase 3.</w:t>
            </w:r>
          </w:p>
        </w:tc>
      </w:tr>
      <w:tr>
        <w:tc>
          <w:tcPr>
            <w:tcW w:type="dxa" w:w="1608"/>
          </w:tcPr>
          <w:p>
            <w:r>
              <w:rPr>
                <w:sz w:val="17"/>
              </w:rPr>
              <w:t>R-02</w:t>
            </w:r>
          </w:p>
        </w:tc>
        <w:tc>
          <w:tcPr>
            <w:tcW w:type="dxa" w:w="1608"/>
          </w:tcPr>
          <w:p>
            <w:r>
              <w:rPr>
                <w:sz w:val="17"/>
              </w:rPr>
              <w:t>Gastrointestinal tolerability drives discontinuation above the modelled rate</w:t>
            </w:r>
          </w:p>
        </w:tc>
        <w:tc>
          <w:tcPr>
            <w:tcW w:type="dxa" w:w="1608"/>
          </w:tcPr>
          <w:p>
            <w:r>
              <w:rPr>
                <w:sz w:val="17"/>
              </w:rPr>
              <w:t>High</w:t>
            </w:r>
          </w:p>
        </w:tc>
        <w:tc>
          <w:tcPr>
            <w:tcW w:type="dxa" w:w="1608"/>
          </w:tcPr>
          <w:p>
            <w:r>
              <w:rPr>
                <w:sz w:val="17"/>
              </w:rPr>
              <w:t>Clinical</w:t>
            </w:r>
          </w:p>
        </w:tc>
        <w:tc>
          <w:tcPr>
            <w:tcW w:type="dxa" w:w="1608"/>
          </w:tcPr>
          <w:p>
            <w:r>
              <w:rPr>
                <w:sz w:val="17"/>
              </w:rPr>
              <w:t>Dec 2027</w:t>
            </w:r>
          </w:p>
        </w:tc>
        <w:tc>
          <w:tcPr>
            <w:tcW w:type="dxa" w:w="1608"/>
          </w:tcPr>
          <w:p>
            <w:r>
              <w:rPr>
                <w:sz w:val="17"/>
              </w:rPr>
              <w:t>Extended dose-escalation schedule adopted after Phase 2; discontinuation is a monitored endpoint with DMC review.</w:t>
            </w:r>
          </w:p>
        </w:tc>
      </w:tr>
      <w:tr>
        <w:tc>
          <w:tcPr>
            <w:tcW w:type="dxa" w:w="1608"/>
          </w:tcPr>
          <w:p>
            <w:r>
              <w:rPr>
                <w:sz w:val="17"/>
              </w:rPr>
              <w:t>R-03</w:t>
            </w:r>
          </w:p>
        </w:tc>
        <w:tc>
          <w:tcPr>
            <w:tcW w:type="dxa" w:w="1608"/>
          </w:tcPr>
          <w:p>
            <w:r>
              <w:rPr>
                <w:sz w:val="17"/>
              </w:rPr>
              <w:t>Registration-batch manufacture or process validation slips against the NDA date</w:t>
            </w:r>
          </w:p>
        </w:tc>
        <w:tc>
          <w:tcPr>
            <w:tcW w:type="dxa" w:w="1608"/>
          </w:tcPr>
          <w:p>
            <w:r>
              <w:rPr>
                <w:sz w:val="17"/>
              </w:rPr>
              <w:t>Medium</w:t>
            </w:r>
          </w:p>
        </w:tc>
        <w:tc>
          <w:tcPr>
            <w:tcW w:type="dxa" w:w="1608"/>
          </w:tcPr>
          <w:p>
            <w:r>
              <w:rPr>
                <w:sz w:val="17"/>
              </w:rPr>
              <w:t>CMC</w:t>
            </w:r>
          </w:p>
        </w:tc>
        <w:tc>
          <w:tcPr>
            <w:tcW w:type="dxa" w:w="1608"/>
          </w:tcPr>
          <w:p>
            <w:r>
              <w:rPr>
                <w:sz w:val="17"/>
              </w:rPr>
              <w:t>Mar 2028</w:t>
            </w:r>
          </w:p>
        </w:tc>
        <w:tc>
          <w:tcPr>
            <w:tcW w:type="dxa" w:w="1608"/>
          </w:tcPr>
          <w:p>
            <w:r>
              <w:rPr>
                <w:sz w:val="17"/>
              </w:rPr>
              <w:t>Dual-source qualification from Gate 4 (D-05); stability protocol started at the earliest supportable point.</w:t>
            </w:r>
          </w:p>
        </w:tc>
      </w:tr>
      <w:tr>
        <w:tc>
          <w:tcPr>
            <w:tcW w:type="dxa" w:w="1608"/>
          </w:tcPr>
          <w:p>
            <w:r>
              <w:rPr>
                <w:sz w:val="17"/>
              </w:rPr>
              <w:t>R-04</w:t>
            </w:r>
          </w:p>
        </w:tc>
        <w:tc>
          <w:tcPr>
            <w:tcW w:type="dxa" w:w="1608"/>
          </w:tcPr>
          <w:p>
            <w:r>
              <w:rPr>
                <w:sz w:val="17"/>
              </w:rPr>
              <w:t>A competitor approval changes the evidentiary bar before filing</w:t>
            </w:r>
          </w:p>
        </w:tc>
        <w:tc>
          <w:tcPr>
            <w:tcW w:type="dxa" w:w="1608"/>
          </w:tcPr>
          <w:p>
            <w:r>
              <w:rPr>
                <w:sz w:val="17"/>
              </w:rPr>
              <w:t>Medium</w:t>
            </w:r>
          </w:p>
        </w:tc>
        <w:tc>
          <w:tcPr>
            <w:tcW w:type="dxa" w:w="1608"/>
          </w:tcPr>
          <w:p>
            <w:r>
              <w:rPr>
                <w:sz w:val="17"/>
              </w:rPr>
              <w:t>Market</w:t>
            </w:r>
          </w:p>
        </w:tc>
        <w:tc>
          <w:tcPr>
            <w:tcW w:type="dxa" w:w="1608"/>
          </w:tcPr>
          <w:p>
            <w:r>
              <w:rPr>
                <w:sz w:val="17"/>
              </w:rPr>
              <w:t>Sep 2028</w:t>
            </w:r>
          </w:p>
        </w:tc>
        <w:tc>
          <w:tcPr>
            <w:tcW w:type="dxa" w:w="1608"/>
          </w:tcPr>
          <w:p>
            <w:r>
              <w:rPr>
                <w:sz w:val="17"/>
              </w:rPr>
              <w:t>Differentiation rests on tolerability rather than magnitude of effect; the comparator sub-study (D-08) exists for this.</w:t>
            </w:r>
          </w:p>
        </w:tc>
      </w:tr>
      <w:tr>
        <w:tc>
          <w:tcPr>
            <w:tcW w:type="dxa" w:w="1608"/>
          </w:tcPr>
          <w:p>
            <w:r>
              <w:rPr>
                <w:sz w:val="17"/>
              </w:rPr>
              <w:t>R-05</w:t>
            </w:r>
          </w:p>
        </w:tc>
        <w:tc>
          <w:tcPr>
            <w:tcW w:type="dxa" w:w="1608"/>
          </w:tcPr>
          <w:p>
            <w:r>
              <w:rPr>
                <w:sz w:val="17"/>
              </w:rPr>
              <w:t>Phase 3 enrolment runs behind the planned curve</w:t>
            </w:r>
          </w:p>
        </w:tc>
        <w:tc>
          <w:tcPr>
            <w:tcW w:type="dxa" w:w="1608"/>
          </w:tcPr>
          <w:p>
            <w:r>
              <w:rPr>
                <w:sz w:val="17"/>
              </w:rPr>
              <w:t>Medium</w:t>
            </w:r>
          </w:p>
        </w:tc>
        <w:tc>
          <w:tcPr>
            <w:tcW w:type="dxa" w:w="1608"/>
          </w:tcPr>
          <w:p>
            <w:r>
              <w:rPr>
                <w:sz w:val="17"/>
              </w:rPr>
              <w:t>Clinical</w:t>
            </w:r>
          </w:p>
        </w:tc>
        <w:tc>
          <w:tcPr>
            <w:tcW w:type="dxa" w:w="1608"/>
          </w:tcPr>
          <w:p>
            <w:r>
              <w:rPr>
                <w:sz w:val="17"/>
              </w:rPr>
              <w:t>Jun 2027</w:t>
            </w:r>
          </w:p>
        </w:tc>
        <w:tc>
          <w:tcPr>
            <w:tcW w:type="dxa" w:w="1608"/>
          </w:tcPr>
          <w:p>
            <w:r>
              <w:rPr>
                <w:sz w:val="17"/>
              </w:rPr>
              <w:t>Site over-recruitment against plan; obesity clinic partnerships; pre-screening registry.</w:t>
            </w:r>
          </w:p>
        </w:tc>
      </w:tr>
      <w:tr>
        <w:tc>
          <w:tcPr>
            <w:tcW w:type="dxa" w:w="1608"/>
          </w:tcPr>
          <w:p>
            <w:r>
              <w:rPr>
                <w:sz w:val="17"/>
              </w:rPr>
              <w:t>R-06</w:t>
            </w:r>
          </w:p>
        </w:tc>
        <w:tc>
          <w:tcPr>
            <w:tcW w:type="dxa" w:w="1608"/>
          </w:tcPr>
          <w:p>
            <w:r>
              <w:rPr>
                <w:sz w:val="17"/>
              </w:rPr>
              <w:t>Payer coverage at launch is narrower than the business case assumes</w:t>
            </w:r>
          </w:p>
        </w:tc>
        <w:tc>
          <w:tcPr>
            <w:tcW w:type="dxa" w:w="1608"/>
          </w:tcPr>
          <w:p>
            <w:r>
              <w:rPr>
                <w:sz w:val="17"/>
              </w:rPr>
              <w:t>Medium</w:t>
            </w:r>
          </w:p>
        </w:tc>
        <w:tc>
          <w:tcPr>
            <w:tcW w:type="dxa" w:w="1608"/>
          </w:tcPr>
          <w:p>
            <w:r>
              <w:rPr>
                <w:sz w:val="17"/>
              </w:rPr>
              <w:t>Commercial</w:t>
            </w:r>
          </w:p>
        </w:tc>
        <w:tc>
          <w:tcPr>
            <w:tcW w:type="dxa" w:w="1608"/>
          </w:tcPr>
          <w:p>
            <w:r>
              <w:rPr>
                <w:sz w:val="17"/>
              </w:rPr>
              <w:t>Mar 2029</w:t>
            </w:r>
          </w:p>
        </w:tc>
        <w:tc>
          <w:tcPr>
            <w:tcW w:type="dxa" w:w="1608"/>
          </w:tcPr>
          <w:p>
            <w:r>
              <w:rPr>
                <w:sz w:val="17"/>
              </w:rPr>
              <w:t>Health-economic evidence package built alongside Phase 3, not after it; payer advisory boards from 2027.</w:t>
            </w:r>
          </w:p>
        </w:tc>
      </w:tr>
      <w:tr>
        <w:tc>
          <w:tcPr>
            <w:tcW w:type="dxa" w:w="1608"/>
          </w:tcPr>
          <w:p>
            <w:r>
              <w:rPr>
                <w:sz w:val="17"/>
              </w:rPr>
              <w:t>R-07</w:t>
            </w:r>
          </w:p>
        </w:tc>
        <w:tc>
          <w:tcPr>
            <w:tcW w:type="dxa" w:w="1608"/>
          </w:tcPr>
          <w:p>
            <w:r>
              <w:rPr>
                <w:sz w:val="17"/>
              </w:rPr>
              <w:t>Pre-approval inspection finds a deficiency at the contract manufacturer</w:t>
            </w:r>
          </w:p>
        </w:tc>
        <w:tc>
          <w:tcPr>
            <w:tcW w:type="dxa" w:w="1608"/>
          </w:tcPr>
          <w:p>
            <w:r>
              <w:rPr>
                <w:sz w:val="17"/>
              </w:rPr>
              <w:t>Low</w:t>
            </w:r>
          </w:p>
        </w:tc>
        <w:tc>
          <w:tcPr>
            <w:tcW w:type="dxa" w:w="1608"/>
          </w:tcPr>
          <w:p>
            <w:r>
              <w:rPr>
                <w:sz w:val="17"/>
              </w:rPr>
              <w:t>Quality</w:t>
            </w:r>
          </w:p>
        </w:tc>
        <w:tc>
          <w:tcPr>
            <w:tcW w:type="dxa" w:w="1608"/>
          </w:tcPr>
          <w:p>
            <w:r>
              <w:rPr>
                <w:sz w:val="17"/>
              </w:rPr>
              <w:t>Jan 2029</w:t>
            </w:r>
          </w:p>
        </w:tc>
        <w:tc>
          <w:tcPr>
            <w:tcW w:type="dxa" w:w="1608"/>
          </w:tcPr>
          <w:p>
            <w:r>
              <w:rPr>
                <w:sz w:val="17"/>
              </w:rPr>
              <w:t>Two internal audits scheduled ahead of the inspection window; QA embedded at site from registration batches.</w:t>
            </w:r>
          </w:p>
        </w:tc>
      </w:tr>
    </w:tbl>
    <w:p/>
    <w:p>
      <w:r>
        <w:t>The full log with owners, scoring and movement between gates lives in the RAID Log. Two risks are rated High and both are clinical: this is a program whose principal uncertainty is the molecule, not its execution — which is the normal and correct risk profile for an asset in Phase 3.</w:t>
      </w:r>
    </w:p>
    <w:p>
      <w:pPr>
        <w:spacing w:before="160"/>
      </w:pPr>
      <w:r>
        <w:rPr>
          <w:b/>
          <w:color w:val="12304A"/>
          <w:sz w:val="21"/>
        </w:rPr>
        <w:t>Live Gate 4 conditions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Condition</w:t>
            </w:r>
          </w:p>
        </w:tc>
        <w:tc>
          <w:tcPr>
            <w:tcW w:type="dxa" w:w="1930"/>
          </w:tcPr>
          <w:p>
            <w:r>
              <w:rPr>
                <w:b/>
                <w:sz w:val="17"/>
              </w:rPr>
              <w:t>Owner</w:t>
            </w:r>
          </w:p>
        </w:tc>
        <w:tc>
          <w:tcPr>
            <w:tcW w:type="dxa" w:w="1930"/>
          </w:tcPr>
          <w:p>
            <w:r>
              <w:rPr>
                <w:b/>
                <w:sz w:val="17"/>
              </w:rPr>
              <w:t>Due</w:t>
            </w:r>
          </w:p>
        </w:tc>
        <w:tc>
          <w:tcPr>
            <w:tcW w:type="dxa" w:w="1930"/>
          </w:tcPr>
          <w:p>
            <w:r>
              <w:rPr>
                <w:b/>
                <w:sz w:val="17"/>
              </w:rPr>
              <w:t>Status</w:t>
            </w:r>
          </w:p>
        </w:tc>
      </w:tr>
      <w:tr>
        <w:tc>
          <w:tcPr>
            <w:tcW w:type="dxa" w:w="1930"/>
          </w:tcPr>
          <w:p>
            <w:r>
              <w:rPr>
                <w:sz w:val="17"/>
              </w:rPr>
              <w:t>GC-01</w:t>
            </w:r>
          </w:p>
        </w:tc>
        <w:tc>
          <w:tcPr>
            <w:tcW w:type="dxa" w:w="1930"/>
          </w:tcPr>
          <w:p>
            <w:r>
              <w:rPr>
                <w:sz w:val="17"/>
              </w:rPr>
              <w:t>Complete analytical method re-qualification at Aldergate for all three methods</w:t>
            </w:r>
          </w:p>
        </w:tc>
        <w:tc>
          <w:tcPr>
            <w:tcW w:type="dxa" w:w="1930"/>
          </w:tcPr>
          <w:p>
            <w:r>
              <w:rPr>
                <w:sz w:val="17"/>
              </w:rPr>
              <w:t>Dr. K. Oyelaran</w:t>
            </w:r>
          </w:p>
        </w:tc>
        <w:tc>
          <w:tcPr>
            <w:tcW w:type="dxa" w:w="1930"/>
          </w:tcPr>
          <w:p>
            <w:r>
              <w:rPr>
                <w:sz w:val="17"/>
              </w:rPr>
              <w:t>18 Dec 2026</w:t>
            </w:r>
          </w:p>
        </w:tc>
        <w:tc>
          <w:tcPr>
            <w:tcW w:type="dxa" w:w="1930"/>
          </w:tcPr>
          <w:p>
            <w:r>
              <w:rPr>
                <w:sz w:val="17"/>
              </w:rPr>
              <w:t>open</w:t>
            </w:r>
          </w:p>
        </w:tc>
      </w:tr>
      <w:tr>
        <w:tc>
          <w:tcPr>
            <w:tcW w:type="dxa" w:w="1930"/>
          </w:tcPr>
          <w:p>
            <w:r>
              <w:rPr>
                <w:sz w:val="17"/>
              </w:rPr>
              <w:t>GC-02</w:t>
            </w:r>
          </w:p>
        </w:tc>
        <w:tc>
          <w:tcPr>
            <w:tcW w:type="dxa" w:w="1930"/>
          </w:tcPr>
          <w:p>
            <w:r>
              <w:rPr>
                <w:sz w:val="17"/>
              </w:rPr>
              <w:t>Confirm the cardiovascular sub-study protocol with the DMC before first CV-cohort dosing</w:t>
            </w:r>
          </w:p>
        </w:tc>
        <w:tc>
          <w:tcPr>
            <w:tcW w:type="dxa" w:w="1930"/>
          </w:tcPr>
          <w:p>
            <w:r>
              <w:rPr>
                <w:sz w:val="17"/>
              </w:rPr>
              <w:t>Dr. S. Aldridge</w:t>
            </w:r>
          </w:p>
        </w:tc>
        <w:tc>
          <w:tcPr>
            <w:tcW w:type="dxa" w:w="1930"/>
          </w:tcPr>
          <w:p>
            <w:r>
              <w:rPr>
                <w:sz w:val="17"/>
              </w:rPr>
              <w:t>30 Nov 2026</w:t>
            </w:r>
          </w:p>
        </w:tc>
        <w:tc>
          <w:tcPr>
            <w:tcW w:type="dxa" w:w="1930"/>
          </w:tcPr>
          <w:p>
            <w:r>
              <w:rPr>
                <w:sz w:val="17"/>
              </w:rPr>
              <w:t>closed</w:t>
            </w:r>
          </w:p>
        </w:tc>
      </w:tr>
      <w:tr>
        <w:tc>
          <w:tcPr>
            <w:tcW w:type="dxa" w:w="1930"/>
          </w:tcPr>
          <w:p>
            <w:r>
              <w:rPr>
                <w:sz w:val="17"/>
              </w:rPr>
              <w:t>GC-03</w:t>
            </w:r>
          </w:p>
        </w:tc>
        <w:tc>
          <w:tcPr>
            <w:tcW w:type="dxa" w:w="1930"/>
          </w:tcPr>
          <w:p>
            <w:r>
              <w:rPr>
                <w:sz w:val="17"/>
              </w:rPr>
              <w:t>Stand up the payer evidence plan and hold the first advisory boards</w:t>
            </w:r>
          </w:p>
        </w:tc>
        <w:tc>
          <w:tcPr>
            <w:tcW w:type="dxa" w:w="1930"/>
          </w:tcPr>
          <w:p>
            <w:r>
              <w:rPr>
                <w:sz w:val="17"/>
              </w:rPr>
              <w:t>J. Barrington</w:t>
            </w:r>
          </w:p>
        </w:tc>
        <w:tc>
          <w:tcPr>
            <w:tcW w:type="dxa" w:w="1930"/>
          </w:tcPr>
          <w:p>
            <w:r>
              <w:rPr>
                <w:sz w:val="17"/>
              </w:rPr>
              <w:t>31 Mar 2027</w:t>
            </w:r>
          </w:p>
        </w:tc>
        <w:tc>
          <w:tcPr>
            <w:tcW w:type="dxa" w:w="1930"/>
          </w:tcPr>
          <w:p>
            <w:r>
              <w:rPr>
                <w:sz w:val="17"/>
              </w:rPr>
              <w:t>at-risk</w:t>
            </w:r>
          </w:p>
        </w:tc>
      </w:tr>
    </w:tbl>
    <w:p/>
    <w:p>
      <w:pPr>
        <w:spacing w:before="320"/>
      </w:pPr>
      <w:r>
        <w:rPr>
          <w:b/>
          <w:color w:val="12304A"/>
          <w:sz w:val="28"/>
        </w:rPr>
        <w:t>17. Assumptions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Assumption</w:t>
            </w:r>
          </w:p>
        </w:tc>
      </w:tr>
      <w:tr>
        <w:tc>
          <w:tcPr>
            <w:tcW w:type="dxa" w:w="4824"/>
          </w:tcPr>
          <w:p>
            <w:r>
              <w:rPr>
                <w:sz w:val="17"/>
              </w:rPr>
              <w:t>A-01</w:t>
            </w:r>
          </w:p>
        </w:tc>
        <w:tc>
          <w:tcPr>
            <w:tcW w:type="dxa" w:w="4824"/>
          </w:tcPr>
          <w:p>
            <w:r>
              <w:rPr>
                <w:sz w:val="17"/>
              </w:rPr>
              <w:t>FDA accepts the co-primary endpoints agreed at the End-of-Phase-2 meeting (percent change in body weight and proportion achieving ≥5% reduction) without further modification.</w:t>
            </w:r>
          </w:p>
        </w:tc>
      </w:tr>
      <w:tr>
        <w:tc>
          <w:tcPr>
            <w:tcW w:type="dxa" w:w="4824"/>
          </w:tcPr>
          <w:p>
            <w:r>
              <w:rPr>
                <w:sz w:val="17"/>
              </w:rPr>
              <w:t>A-02</w:t>
            </w:r>
          </w:p>
        </w:tc>
        <w:tc>
          <w:tcPr>
            <w:tcW w:type="dxa" w:w="4824"/>
          </w:tcPr>
          <w:p>
            <w:r>
              <w:rPr>
                <w:sz w:val="17"/>
              </w:rPr>
              <w:t>Standard 10-month review applies. Neither priority review nor a breakthrough designation is assumed in the plan or the business case.</w:t>
            </w:r>
          </w:p>
        </w:tc>
      </w:tr>
      <w:tr>
        <w:tc>
          <w:tcPr>
            <w:tcW w:type="dxa" w:w="4824"/>
          </w:tcPr>
          <w:p>
            <w:r>
              <w:rPr>
                <w:sz w:val="17"/>
              </w:rPr>
              <w:t>A-03</w:t>
            </w:r>
          </w:p>
        </w:tc>
        <w:tc>
          <w:tcPr>
            <w:tcW w:type="dxa" w:w="4824"/>
          </w:tcPr>
          <w:p>
            <w:r>
              <w:rPr>
                <w:sz w:val="17"/>
              </w:rPr>
              <w:t>No advisory committee meeting is convened. Budget carries no line for advisory committee preparation.</w:t>
            </w:r>
          </w:p>
        </w:tc>
      </w:tr>
      <w:tr>
        <w:tc>
          <w:tcPr>
            <w:tcW w:type="dxa" w:w="4824"/>
          </w:tcPr>
          <w:p>
            <w:r>
              <w:rPr>
                <w:sz w:val="17"/>
              </w:rPr>
              <w:t>A-04</w:t>
            </w:r>
          </w:p>
        </w:tc>
        <w:tc>
          <w:tcPr>
            <w:tcW w:type="dxa" w:w="4824"/>
          </w:tcPr>
          <w:p>
            <w:r>
              <w:rPr>
                <w:sz w:val="17"/>
              </w:rPr>
              <w:t>Phase 3 enrolment completes within the planned window at the planned site count, on the recruitment rates observed in Phase 2.</w:t>
            </w:r>
          </w:p>
        </w:tc>
      </w:tr>
      <w:tr>
        <w:tc>
          <w:tcPr>
            <w:tcW w:type="dxa" w:w="4824"/>
          </w:tcPr>
          <w:p>
            <w:r>
              <w:rPr>
                <w:sz w:val="17"/>
              </w:rPr>
              <w:t>A-05</w:t>
            </w:r>
          </w:p>
        </w:tc>
        <w:tc>
          <w:tcPr>
            <w:tcW w:type="dxa" w:w="4824"/>
          </w:tcPr>
          <w:p>
            <w:r>
              <w:rPr>
                <w:sz w:val="17"/>
              </w:rPr>
              <w:t>Aldergate Biologics has registration-batch capacity available in the Stage 4 window as contracted.</w:t>
            </w:r>
          </w:p>
        </w:tc>
      </w:tr>
      <w:tr>
        <w:tc>
          <w:tcPr>
            <w:tcW w:type="dxa" w:w="4824"/>
          </w:tcPr>
          <w:p>
            <w:r>
              <w:rPr>
                <w:sz w:val="17"/>
              </w:rPr>
              <w:t>A-06</w:t>
            </w:r>
          </w:p>
        </w:tc>
        <w:tc>
          <w:tcPr>
            <w:tcW w:type="dxa" w:w="4824"/>
          </w:tcPr>
          <w:p>
            <w:r>
              <w:rPr>
                <w:sz w:val="17"/>
              </w:rPr>
              <w:t>Payer coverage for chronic weight management continues to broaden over the launch horizon; the case does not assume Medicare Part D coverage.</w:t>
            </w:r>
          </w:p>
        </w:tc>
      </w:tr>
    </w:tbl>
    <w:p/>
    <w:p>
      <w:r>
        <w:t>A-02 and A-03 deserve particular attention: the plan assumes neither an expedited review nor an advisory committee. Both assumptions are conservative in the direction that matters — an expedited review would pull revenue forward, while an advisory committee would add cost and time the budget does not carry. The asymmetry is deliberate.</w:t>
      </w:r>
    </w:p>
    <w:p>
      <w:pPr>
        <w:spacing w:before="320"/>
      </w:pPr>
      <w:r>
        <w:rPr>
          <w:b/>
          <w:color w:val="12304A"/>
          <w:sz w:val="28"/>
        </w:rPr>
        <w:t>18. Constraints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Constraint</w:t>
            </w:r>
          </w:p>
        </w:tc>
      </w:tr>
      <w:tr>
        <w:tc>
          <w:tcPr>
            <w:tcW w:type="dxa" w:w="4824"/>
          </w:tcPr>
          <w:p>
            <w:r>
              <w:rPr>
                <w:sz w:val="17"/>
              </w:rPr>
              <w:t>C-01</w:t>
            </w:r>
          </w:p>
        </w:tc>
        <w:tc>
          <w:tcPr>
            <w:tcW w:type="dxa" w:w="4824"/>
          </w:tcPr>
          <w:p>
            <w:r>
              <w:rPr>
                <w:sz w:val="17"/>
              </w:rPr>
              <w:t>GLP for nonclinical safety studies, GCP (ICH E6) for all clinical conduct, and cGMP for all material used in humans. Non-negotiable and not tradeable against schedule.</w:t>
            </w:r>
          </w:p>
        </w:tc>
      </w:tr>
      <w:tr>
        <w:tc>
          <w:tcPr>
            <w:tcW w:type="dxa" w:w="4824"/>
          </w:tcPr>
          <w:p>
            <w:r>
              <w:rPr>
                <w:sz w:val="17"/>
              </w:rPr>
              <w:t>C-02</w:t>
            </w:r>
          </w:p>
        </w:tc>
        <w:tc>
          <w:tcPr>
            <w:tcW w:type="dxa" w:w="4824"/>
          </w:tcPr>
          <w:p>
            <w:r>
              <w:rPr>
                <w:sz w:val="17"/>
              </w:rPr>
              <w:t>21 CFR Part 11 compliance for all electronic records and signatures in the clinical and manufacturing systems.</w:t>
            </w:r>
          </w:p>
        </w:tc>
      </w:tr>
      <w:tr>
        <w:tc>
          <w:tcPr>
            <w:tcW w:type="dxa" w:w="4824"/>
          </w:tcPr>
          <w:p>
            <w:r>
              <w:rPr>
                <w:sz w:val="17"/>
              </w:rPr>
              <w:t>C-03</w:t>
            </w:r>
          </w:p>
        </w:tc>
        <w:tc>
          <w:tcPr>
            <w:tcW w:type="dxa" w:w="4824"/>
          </w:tcPr>
          <w:p>
            <w:r>
              <w:rPr>
                <w:sz w:val="17"/>
              </w:rPr>
              <w:t>IRB approval required at every site before activation; no screening ahead of approval.</w:t>
            </w:r>
          </w:p>
        </w:tc>
      </w:tr>
      <w:tr>
        <w:tc>
          <w:tcPr>
            <w:tcW w:type="dxa" w:w="4824"/>
          </w:tcPr>
          <w:p>
            <w:r>
              <w:rPr>
                <w:sz w:val="17"/>
              </w:rPr>
              <w:t>C-04</w:t>
            </w:r>
          </w:p>
        </w:tc>
        <w:tc>
          <w:tcPr>
            <w:tcW w:type="dxa" w:w="4824"/>
          </w:tcPr>
          <w:p>
            <w:r>
              <w:rPr>
                <w:sz w:val="17"/>
              </w:rPr>
              <w:t>Serious adverse event reporting to FDA within the 7- and 15-day windows, independent of program governance.</w:t>
            </w:r>
          </w:p>
        </w:tc>
      </w:tr>
      <w:tr>
        <w:tc>
          <w:tcPr>
            <w:tcW w:type="dxa" w:w="4824"/>
          </w:tcPr>
          <w:p>
            <w:r>
              <w:rPr>
                <w:sz w:val="17"/>
              </w:rPr>
              <w:t>C-05</w:t>
            </w:r>
          </w:p>
        </w:tc>
        <w:tc>
          <w:tcPr>
            <w:tcW w:type="dxa" w:w="4824"/>
          </w:tcPr>
          <w:p>
            <w:r>
              <w:rPr>
                <w:sz w:val="17"/>
              </w:rPr>
              <w:t>The independent Data Monitoring Committee's stopping recommendations are binding and are not a Development Committee decision.</w:t>
            </w:r>
          </w:p>
        </w:tc>
      </w:tr>
    </w:tbl>
    <w:p/>
    <w:p>
      <w:pPr>
        <w:spacing w:before="320"/>
      </w:pPr>
      <w:r>
        <w:rPr>
          <w:b/>
          <w:color w:val="12304A"/>
          <w:sz w:val="28"/>
        </w:rPr>
        <w:t>19. Dependencies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Dependency</w:t>
            </w:r>
          </w:p>
        </w:tc>
      </w:tr>
      <w:tr>
        <w:tc>
          <w:tcPr>
            <w:tcW w:type="dxa" w:w="4824"/>
          </w:tcPr>
          <w:p>
            <w:r>
              <w:rPr>
                <w:sz w:val="17"/>
              </w:rPr>
              <w:t>DEP-01</w:t>
            </w:r>
          </w:p>
        </w:tc>
        <w:tc>
          <w:tcPr>
            <w:tcW w:type="dxa" w:w="4824"/>
          </w:tcPr>
          <w:p>
            <w:r>
              <w:rPr>
                <w:sz w:val="17"/>
              </w:rPr>
              <w:t>IND acceptance (30-day safety review) before any first-in-human dosing.</w:t>
            </w:r>
          </w:p>
        </w:tc>
      </w:tr>
      <w:tr>
        <w:tc>
          <w:tcPr>
            <w:tcW w:type="dxa" w:w="4824"/>
          </w:tcPr>
          <w:p>
            <w:r>
              <w:rPr>
                <w:sz w:val="17"/>
              </w:rPr>
              <w:t>DEP-02</w:t>
            </w:r>
          </w:p>
        </w:tc>
        <w:tc>
          <w:tcPr>
            <w:tcW w:type="dxa" w:w="4824"/>
          </w:tcPr>
          <w:p>
            <w:r>
              <w:rPr>
                <w:sz w:val="17"/>
              </w:rPr>
              <w:t>Phase 2 dose selection before Phase 3 protocol finalisation.</w:t>
            </w:r>
          </w:p>
        </w:tc>
      </w:tr>
      <w:tr>
        <w:tc>
          <w:tcPr>
            <w:tcW w:type="dxa" w:w="4824"/>
          </w:tcPr>
          <w:p>
            <w:r>
              <w:rPr>
                <w:sz w:val="17"/>
              </w:rPr>
              <w:t>DEP-03</w:t>
            </w:r>
          </w:p>
        </w:tc>
        <w:tc>
          <w:tcPr>
            <w:tcW w:type="dxa" w:w="4824"/>
          </w:tcPr>
          <w:p>
            <w:r>
              <w:rPr>
                <w:sz w:val="17"/>
              </w:rPr>
              <w:t>Registration batches manufactured and on stability before NDA submission.</w:t>
            </w:r>
          </w:p>
        </w:tc>
      </w:tr>
      <w:tr>
        <w:tc>
          <w:tcPr>
            <w:tcW w:type="dxa" w:w="4824"/>
          </w:tcPr>
          <w:p>
            <w:r>
              <w:rPr>
                <w:sz w:val="17"/>
              </w:rPr>
              <w:t>DEP-04</w:t>
            </w:r>
          </w:p>
        </w:tc>
        <w:tc>
          <w:tcPr>
            <w:tcW w:type="dxa" w:w="4824"/>
          </w:tcPr>
          <w:p>
            <w:r>
              <w:rPr>
                <w:sz w:val="17"/>
              </w:rPr>
              <w:t>Process validation complete before the pre-approval inspection.</w:t>
            </w:r>
          </w:p>
        </w:tc>
      </w:tr>
      <w:tr>
        <w:tc>
          <w:tcPr>
            <w:tcW w:type="dxa" w:w="4824"/>
          </w:tcPr>
          <w:p>
            <w:r>
              <w:rPr>
                <w:sz w:val="17"/>
              </w:rPr>
              <w:t>DEP-05</w:t>
            </w:r>
          </w:p>
        </w:tc>
        <w:tc>
          <w:tcPr>
            <w:tcW w:type="dxa" w:w="4824"/>
          </w:tcPr>
          <w:p>
            <w:r>
              <w:rPr>
                <w:sz w:val="17"/>
              </w:rPr>
              <w:t>Database lock before topline analysis; topline before NDA assembly begins.</w:t>
            </w:r>
          </w:p>
        </w:tc>
      </w:tr>
    </w:tbl>
    <w:p/>
    <w:p>
      <w:r>
        <w:t>Every dependency listed is a hard sequence, not a preference. DEP-03 and DEP-04 in particular are the ones that most often move a filing date, because manufacturing readiness is frequently planned as though it runs in parallel with clinical read-out when in practice it gates on it.</w:t>
      </w:r>
    </w:p>
    <w:p>
      <w:pPr>
        <w:spacing w:before="320"/>
      </w:pPr>
      <w:r>
        <w:rPr>
          <w:b/>
          <w:color w:val="12304A"/>
          <w:sz w:val="28"/>
        </w:rPr>
        <w:t>20. The Boundary of the Authorization</w:t>
      </w:r>
    </w:p>
    <w:p>
      <w:r>
        <w:t>A stage-gate charter is defined as much by what it withholds as by what it grants. This charter does not authorize:</w:t>
      </w:r>
    </w:p>
    <w:p>
      <w:pPr>
        <w:pStyle w:val="ListBullet"/>
      </w:pPr>
      <w:r>
        <w:t>Spend beyond the Stage 4 tranche. Stage 5 funding is released at Gate 5 or not at all.</w:t>
      </w:r>
    </w:p>
    <w:p>
      <w:pPr>
        <w:pStyle w:val="ListBullet"/>
      </w:pPr>
      <w:r>
        <w:t>A full-program earned value baseline. Stage 5 scope is not baselined at the level EVM requires, and publishing indices computed on an unbaselined stage would be a fabricated precision.</w:t>
      </w:r>
    </w:p>
    <w:p>
      <w:pPr>
        <w:pStyle w:val="ListBullet"/>
      </w:pPr>
      <w:r>
        <w:t>Any lifecycle indication. Additional indications require their own business case and their own Gate 0.</w:t>
      </w:r>
    </w:p>
    <w:p>
      <w:pPr>
        <w:pStyle w:val="ListBullet"/>
      </w:pPr>
      <w:r>
        <w:t>Post-approval commitments. These are negotiated with the agency during review, not pre-authorized here.</w:t>
      </w:r>
    </w:p>
    <w:p>
      <w:pPr>
        <w:pStyle w:val="ListBullet"/>
      </w:pPr>
      <w:r>
        <w:t>Deviation from GxP under any schedule or cost pressure (§15).</w:t>
      </w:r>
    </w:p>
    <w:p>
      <w:pPr>
        <w:pStyle w:val="ListBullet"/>
      </w:pPr>
      <w:r>
        <w:t>Continuation through a Data Monitoring Committee stop recommendation (§8).</w:t>
      </w:r>
    </w:p>
    <w:p>
      <w:pPr>
        <w:spacing w:before="320"/>
      </w:pPr>
      <w:r>
        <w:rPr>
          <w:b/>
          <w:color w:val="12304A"/>
          <w:sz w:val="28"/>
        </w:rPr>
        <w:t>21. Authorization &amp; Sign-off</w:t>
      </w:r>
    </w:p>
    <w:p>
      <w:r>
        <w:t>Authorized at the Gate 4 decision of 30 June 2026, recorded outcome GO WITH CONDITIONS (5-0-1), with the conditions at §16 attached.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