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PROGRAM CLOSURE · VITALIS THERAPEUTICS INC. · ILLUSTRATIVE END-STATE SAMPLE — FORWARD-DATED, NOT RECONCILED</w:t>
      </w:r>
    </w:p>
    <w:p>
      <w:r>
        <w:rPr>
          <w:b/>
          <w:color w:val="12304A"/>
          <w:sz w:val="44"/>
        </w:rPr>
        <w:t>Program Closure Report</w:t>
      </w:r>
    </w:p>
    <w:p>
      <w:r>
        <w:rPr>
          <w:i/>
          <w:color w:val="6B7280"/>
          <w:sz w:val="17"/>
        </w:rPr>
        <w:t>Vitalis Therapeutics Inc. · VitaFlow (VTX-401) · Program Closure Report · 30 June 2030. Illustrative end-state sample — forward-dated, not reconciled. Fictional program.</w:t>
      </w:r>
    </w:p>
    <w:p/>
    <w:p>
      <w:r>
        <w:t>Vitalis Therapeutics Inc. — Formal closure of the VitaFlow (VTX-401) development program on 30 June 2030: final accounting against the authorized ceiling, delivery against the charter, five recorded lessons, the obligations transferred to permanent owners, records disposition, and a final assessment stated plainly.</w:t>
      </w:r>
    </w:p>
    <w:p>
      <w:pPr>
        <w:spacing w:before="120"/>
        <w:ind w:left="360"/>
      </w:pPr>
      <w:r>
        <w:rPr>
          <w:i/>
          <w:color w:val="12304A"/>
          <w:sz w:val="20"/>
        </w:rPr>
        <w:t>Forward-dated end-state sample. This report closes the program on 30 June 2030 — nearly four years beyond the 15 October 2026 status date the in-flight suite is written to, and deliberately not reconciled against it.</w:t>
      </w:r>
    </w:p>
    <w:p>
      <w:pPr>
        <w:spacing w:before="320"/>
      </w:pPr>
      <w:r>
        <w:rPr>
          <w:b/>
          <w:color w:val="12304A"/>
          <w:sz w:val="28"/>
        </w:rPr>
        <w:t>1. What Is Being Closed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r>
          </w:p>
        </w:tc>
      </w:tr>
      <w:tr>
        <w:tc>
          <w:tcPr>
            <w:tcW w:type="dxa" w:w="4824"/>
          </w:tcPr>
          <w:p>
            <w:r>
              <w:rPr>
                <w:sz w:val="17"/>
              </w:rPr>
              <w:t>Program</w:t>
            </w:r>
          </w:p>
        </w:tc>
        <w:tc>
          <w:tcPr>
            <w:tcW w:type="dxa" w:w="4824"/>
          </w:tcPr>
          <w:p>
            <w:r>
              <w:rPr>
                <w:sz w:val="17"/>
              </w:rPr>
              <w:t>VitaFlow (VTX-401) development program</w:t>
            </w:r>
          </w:p>
        </w:tc>
      </w:tr>
      <w:tr>
        <w:tc>
          <w:tcPr>
            <w:tcW w:type="dxa" w:w="4824"/>
          </w:tcPr>
          <w:p>
            <w:r>
              <w:rPr>
                <w:sz w:val="17"/>
              </w:rPr>
              <w:t>Authorized</w:t>
            </w:r>
          </w:p>
        </w:tc>
        <w:tc>
          <w:tcPr>
            <w:tcW w:type="dxa" w:w="4824"/>
          </w:tcPr>
          <w:p>
            <w:r>
              <w:rPr>
                <w:sz w:val="17"/>
              </w:rPr>
              <w:t>01 March 2022, Gate 0</w:t>
            </w:r>
          </w:p>
        </w:tc>
      </w:tr>
      <w:tr>
        <w:tc>
          <w:tcPr>
            <w:tcW w:type="dxa" w:w="4824"/>
          </w:tcPr>
          <w:p>
            <w:r>
              <w:rPr>
                <w:sz w:val="17"/>
              </w:rPr>
              <w:t>Closed</w:t>
            </w:r>
          </w:p>
        </w:tc>
        <w:tc>
          <w:tcPr>
            <w:tcW w:type="dxa" w:w="4824"/>
          </w:tcPr>
          <w:p>
            <w:r>
              <w:rPr>
                <w:sz w:val="17"/>
              </w:rPr>
              <w:t>30 June 2030</w:t>
            </w:r>
          </w:p>
        </w:tc>
      </w:tr>
      <w:tr>
        <w:tc>
          <w:tcPr>
            <w:tcW w:type="dxa" w:w="4824"/>
          </w:tcPr>
          <w:p>
            <w:r>
              <w:rPr>
                <w:sz w:val="17"/>
              </w:rPr>
              <w:t>Duration</w:t>
            </w:r>
          </w:p>
        </w:tc>
        <w:tc>
          <w:tcPr>
            <w:tcW w:type="dxa" w:w="4824"/>
          </w:tcPr>
          <w:p>
            <w:r>
              <w:rPr>
                <w:sz w:val="17"/>
              </w:rPr>
              <w:t>8 years</w:t>
            </w:r>
          </w:p>
        </w:tc>
      </w:tr>
      <w:tr>
        <w:tc>
          <w:tcPr>
            <w:tcW w:type="dxa" w:w="4824"/>
          </w:tcPr>
          <w:p>
            <w:r>
              <w:rPr>
                <w:sz w:val="17"/>
              </w:rPr>
              <w:t>Gates held</w:t>
            </w:r>
          </w:p>
        </w:tc>
        <w:tc>
          <w:tcPr>
            <w:tcW w:type="dxa" w:w="4824"/>
          </w:tcPr>
          <w:p>
            <w:r>
              <w:rPr>
                <w:sz w:val="17"/>
              </w:rPr>
              <w:t>7, all carried</w:t>
            </w:r>
          </w:p>
        </w:tc>
      </w:tr>
      <w:tr>
        <w:tc>
          <w:tcPr>
            <w:tcW w:type="dxa" w:w="4824"/>
          </w:tcPr>
          <w:p>
            <w:r>
              <w:rPr>
                <w:sz w:val="17"/>
              </w:rPr>
              <w:t>Closure authority</w:t>
            </w:r>
          </w:p>
        </w:tc>
        <w:tc>
          <w:tcPr>
            <w:tcW w:type="dxa" w:w="4824"/>
          </w:tcPr>
          <w:p>
            <w:r>
              <w:rPr>
                <w:sz w:val="17"/>
              </w:rPr>
              <w:t>Development Committee, on the recommendation of the Program Director</w:t>
            </w:r>
          </w:p>
        </w:tc>
      </w:tr>
    </w:tbl>
    <w:p/>
    <w:p>
      <w:pPr>
        <w:spacing w:before="120"/>
        <w:ind w:left="360"/>
      </w:pPr>
      <w:r>
        <w:rPr>
          <w:i/>
          <w:color w:val="12304A"/>
          <w:sz w:val="20"/>
        </w:rPr>
        <w:t>A program closes; a product does not. VitaFlow remains on the market, under pharmacovigilance, in ongoing stability, and subject to four post-marketing obligations reporting as late as 2035.</w:t>
      </w:r>
    </w:p>
    <w:p>
      <w:pPr>
        <w:spacing w:before="120"/>
        <w:ind w:left="360"/>
      </w:pPr>
      <w:r>
        <w:rPr>
          <w:i/>
          <w:color w:val="12304A"/>
          <w:sz w:val="20"/>
        </w:rPr>
        <w:t>What ends here is the temporary organization assembled to develop it. That distinction is the reason §5 and §6 exist: everything the program still owns has to be given to someone permanent before the program stops being able to give anything to anyone.</w:t>
      </w:r>
    </w:p>
    <w:p>
      <w:pPr>
        <w:spacing w:before="320"/>
      </w:pPr>
      <w:r>
        <w:rPr>
          <w:b/>
          <w:color w:val="12304A"/>
          <w:sz w:val="28"/>
        </w:rPr>
        <w:t>2. Final Accounting</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t>Amount</w:t>
            </w:r>
          </w:p>
        </w:tc>
      </w:tr>
      <w:tr>
        <w:tc>
          <w:tcPr>
            <w:tcW w:type="dxa" w:w="4824"/>
          </w:tcPr>
          <w:p>
            <w:r>
              <w:rPr>
                <w:sz w:val="17"/>
              </w:rPr>
              <w:t>Base authorization</w:t>
            </w:r>
          </w:p>
        </w:tc>
        <w:tc>
          <w:tcPr>
            <w:tcW w:type="dxa" w:w="4824"/>
          </w:tcPr>
          <w:p>
            <w:r>
              <w:rPr>
                <w:sz w:val="17"/>
              </w:rPr>
              <w:t>$217,000,000</w:t>
            </w:r>
          </w:p>
        </w:tc>
      </w:tr>
      <w:tr>
        <w:tc>
          <w:tcPr>
            <w:tcW w:type="dxa" w:w="4824"/>
          </w:tcPr>
          <w:p>
            <w:r>
              <w:rPr>
                <w:sz w:val="17"/>
              </w:rPr>
              <w:t>Contingency reserve</w:t>
            </w:r>
          </w:p>
        </w:tc>
        <w:tc>
          <w:tcPr>
            <w:tcW w:type="dxa" w:w="4824"/>
          </w:tcPr>
          <w:p>
            <w:r>
              <w:rPr>
                <w:sz w:val="17"/>
              </w:rPr>
              <w:t>$26,040,000</w:t>
            </w:r>
          </w:p>
        </w:tc>
      </w:tr>
      <w:tr>
        <w:tc>
          <w:tcPr>
            <w:tcW w:type="dxa" w:w="4824"/>
          </w:tcPr>
          <w:p>
            <w:r>
              <w:rPr>
                <w:sz w:val="17"/>
              </w:rPr>
              <w:t>Authorized ceiling</w:t>
            </w:r>
          </w:p>
        </w:tc>
        <w:tc>
          <w:tcPr>
            <w:tcW w:type="dxa" w:w="4824"/>
          </w:tcPr>
          <w:p>
            <w:r>
              <w:rPr>
                <w:sz w:val="17"/>
              </w:rPr>
              <w:t>$243,040,000</w:t>
            </w:r>
          </w:p>
        </w:tc>
      </w:tr>
      <w:tr>
        <w:tc>
          <w:tcPr>
            <w:tcW w:type="dxa" w:w="4824"/>
          </w:tcPr>
          <w:p>
            <w:r>
              <w:rPr>
                <w:sz w:val="17"/>
              </w:rPr>
              <w:t>Contingency drawn</w:t>
            </w:r>
          </w:p>
        </w:tc>
        <w:tc>
          <w:tcPr>
            <w:tcW w:type="dxa" w:w="4824"/>
          </w:tcPr>
          <w:p>
            <w:r>
              <w:rPr>
                <w:sz w:val="17"/>
              </w:rPr>
              <w:t>$22,400,000 of $26,040,000</w:t>
            </w:r>
          </w:p>
        </w:tc>
      </w:tr>
      <w:tr>
        <w:tc>
          <w:tcPr>
            <w:tcW w:type="dxa" w:w="4824"/>
          </w:tcPr>
          <w:p>
            <w:r>
              <w:rPr>
                <w:sz w:val="17"/>
              </w:rPr>
              <w:t>Final spend</w:t>
            </w:r>
          </w:p>
        </w:tc>
        <w:tc>
          <w:tcPr>
            <w:tcW w:type="dxa" w:w="4824"/>
          </w:tcPr>
          <w:p>
            <w:r>
              <w:rPr>
                <w:sz w:val="17"/>
              </w:rPr>
              <w:t>$238,600,000</w:t>
            </w:r>
          </w:p>
        </w:tc>
      </w:tr>
      <w:tr>
        <w:tc>
          <w:tcPr>
            <w:tcW w:type="dxa" w:w="4824"/>
          </w:tcPr>
          <w:p>
            <w:r>
              <w:rPr>
                <w:sz w:val="17"/>
              </w:rPr>
              <w:t>Under ceiling</w:t>
            </w:r>
          </w:p>
        </w:tc>
        <w:tc>
          <w:tcPr>
            <w:tcW w:type="dxa" w:w="4824"/>
          </w:tcPr>
          <w:p>
            <w:r>
              <w:rPr>
                <w:sz w:val="17"/>
              </w:rPr>
              <w:t>$4,440,000 — 1.8% of authorization</w:t>
            </w:r>
          </w:p>
        </w:tc>
      </w:tr>
    </w:tbl>
    <w:p/>
    <w:p>
      <w:r>
        <w:t>The program closed $4,440,000 under a ceiling set at Gate 4 in June 2026, three years before approval and four before closure.</w:t>
      </w:r>
    </w:p>
    <w:p>
      <w:pPr>
        <w:spacing w:before="200"/>
      </w:pPr>
      <w:r>
        <w:rPr>
          <w:b/>
          <w:color w:val="2B5F8E"/>
          <w:sz w:val="23"/>
        </w:rPr>
        <w:t>Contingency drawn after the status date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Purpose</w:t>
            </w:r>
          </w:p>
        </w:tc>
        <w:tc>
          <w:tcPr>
            <w:tcW w:type="dxa" w:w="2412"/>
          </w:tcPr>
          <w:p>
            <w:r>
              <w:rPr>
                <w:b/>
                <w:sz w:val="17"/>
              </w:rPr>
              <w:t>Amount</w:t>
            </w:r>
          </w:p>
        </w:tc>
        <w:tc>
          <w:tcPr>
            <w:tcW w:type="dxa" w:w="2412"/>
          </w:tcPr>
          <w:p>
            <w:r>
              <w:rPr>
                <w:b/>
                <w:sz w:val="17"/>
              </w:rPr>
              <w:t>Approved</w:t>
            </w:r>
          </w:p>
        </w:tc>
      </w:tr>
      <w:tr>
        <w:tc>
          <w:tcPr>
            <w:tcW w:type="dxa" w:w="2412"/>
          </w:tcPr>
          <w:p>
            <w:r>
              <w:rPr>
                <w:sz w:val="17"/>
              </w:rPr>
              <w:t>CD-03</w:t>
            </w:r>
          </w:p>
        </w:tc>
        <w:tc>
          <w:tcPr>
            <w:tcW w:type="dxa" w:w="2412"/>
          </w:tcPr>
          <w:p>
            <w:r>
              <w:rPr>
                <w:sz w:val="17"/>
              </w:rPr>
              <w:t>Phase 3 enrolment recovery — 34 additional sites</w:t>
            </w:r>
          </w:p>
        </w:tc>
        <w:tc>
          <w:tcPr>
            <w:tcW w:type="dxa" w:w="2412"/>
          </w:tcPr>
          <w:p>
            <w:r>
              <w:rPr>
                <w:sz w:val="17"/>
              </w:rPr>
              <w:t>$4,900,000</w:t>
            </w:r>
          </w:p>
        </w:tc>
        <w:tc>
          <w:tcPr>
            <w:tcW w:type="dxa" w:w="2412"/>
          </w:tcPr>
          <w:p>
            <w:r>
              <w:rPr>
                <w:sz w:val="17"/>
              </w:rPr>
              <w:t>18 Feb 2027</w:t>
            </w:r>
          </w:p>
        </w:tc>
      </w:tr>
      <w:tr>
        <w:tc>
          <w:tcPr>
            <w:tcW w:type="dxa" w:w="2412"/>
          </w:tcPr>
          <w:p>
            <w:r>
              <w:rPr>
                <w:sz w:val="17"/>
              </w:rPr>
              <w:t>CD-04</w:t>
            </w:r>
          </w:p>
        </w:tc>
        <w:tc>
          <w:tcPr>
            <w:tcW w:type="dxa" w:w="2412"/>
          </w:tcPr>
          <w:p>
            <w:r>
              <w:rPr>
                <w:sz w:val="17"/>
              </w:rPr>
              <w:t>Pre-approval inspection remediation at Aldergate</w:t>
            </w:r>
          </w:p>
        </w:tc>
        <w:tc>
          <w:tcPr>
            <w:tcW w:type="dxa" w:w="2412"/>
          </w:tcPr>
          <w:p>
            <w:r>
              <w:rPr>
                <w:sz w:val="17"/>
              </w:rPr>
              <w:t>$1,850,000</w:t>
            </w:r>
          </w:p>
        </w:tc>
        <w:tc>
          <w:tcPr>
            <w:tcW w:type="dxa" w:w="2412"/>
          </w:tcPr>
          <w:p>
            <w:r>
              <w:rPr>
                <w:sz w:val="17"/>
              </w:rPr>
              <w:t>02 Mar 2029</w:t>
            </w:r>
          </w:p>
        </w:tc>
      </w:tr>
      <w:tr>
        <w:tc>
          <w:tcPr>
            <w:tcW w:type="dxa" w:w="2412"/>
          </w:tcPr>
          <w:p>
            <w:r>
              <w:rPr>
                <w:sz w:val="17"/>
              </w:rPr>
              <w:t>CD-05</w:t>
            </w:r>
          </w:p>
        </w:tc>
        <w:tc>
          <w:tcPr>
            <w:tcW w:type="dxa" w:w="2412"/>
          </w:tcPr>
          <w:p>
            <w:r>
              <w:rPr>
                <w:sz w:val="17"/>
              </w:rPr>
              <w:t>Launch supply build ahead of approval</w:t>
            </w:r>
          </w:p>
        </w:tc>
        <w:tc>
          <w:tcPr>
            <w:tcW w:type="dxa" w:w="2412"/>
          </w:tcPr>
          <w:p>
            <w:r>
              <w:rPr>
                <w:sz w:val="17"/>
              </w:rPr>
              <w:t>$6,400,000</w:t>
            </w:r>
          </w:p>
        </w:tc>
        <w:tc>
          <w:tcPr>
            <w:tcW w:type="dxa" w:w="2412"/>
          </w:tcPr>
          <w:p>
            <w:r>
              <w:rPr>
                <w:sz w:val="17"/>
              </w:rPr>
              <w:t>22 Jan 2029</w:t>
            </w:r>
          </w:p>
        </w:tc>
      </w:tr>
      <w:tr>
        <w:tc>
          <w:tcPr>
            <w:tcW w:type="dxa" w:w="2412"/>
          </w:tcPr>
          <w:p>
            <w:r>
              <w:rPr>
                <w:sz w:val="17"/>
              </w:rPr>
            </w:r>
          </w:p>
        </w:tc>
        <w:tc>
          <w:tcPr>
            <w:tcW w:type="dxa" w:w="2412"/>
          </w:tcPr>
          <w:p>
            <w:r>
              <w:rPr>
                <w:sz w:val="17"/>
              </w:rPr>
              <w:t>Total drawn after the status date</w:t>
            </w:r>
          </w:p>
        </w:tc>
        <w:tc>
          <w:tcPr>
            <w:tcW w:type="dxa" w:w="2412"/>
          </w:tcPr>
          <w:p>
            <w:r>
              <w:rPr>
                <w:sz w:val="17"/>
              </w:rPr>
              <w:t>$13,150,000</w:t>
            </w:r>
          </w:p>
        </w:tc>
        <w:tc>
          <w:tcPr>
            <w:tcW w:type="dxa" w:w="2412"/>
          </w:tcPr>
          <w:p>
            <w:r>
              <w:rPr>
                <w:sz w:val="17"/>
              </w:rPr>
            </w:r>
          </w:p>
        </w:tc>
      </w:tr>
    </w:tbl>
    <w:p/>
    <w:p>
      <w:pPr>
        <w:spacing w:before="120"/>
        <w:ind w:left="360"/>
      </w:pPr>
      <w:r>
        <w:rPr>
          <w:i/>
          <w:color w:val="12304A"/>
          <w:sz w:val="20"/>
        </w:rPr>
        <w:t>Read CD-05 against the Launch Execution Report. The $6,400,000 launch supply build was approved in January 2029 — nine months before approval, for a product that had a real chance of never being approved at all.</w:t>
      </w:r>
    </w:p>
    <w:p>
      <w:pPr>
        <w:spacing w:before="120"/>
        <w:ind w:left="360"/>
      </w:pPr>
      <w:r>
        <w:rPr>
          <w:i/>
          <w:color w:val="12304A"/>
          <w:sz w:val="20"/>
        </w:rPr>
        <w:t>That draw is why approval-to-first-shipment took 27 days. It is also money the program would have written off entirely had the review gone differently. The 27-day launch and the risk of a $6,400,000 write-off are the same decision viewed from two ends, and a closure report that recorded only the fast launch would have hidden what it cost to buy.</w:t>
      </w:r>
    </w:p>
    <w:p>
      <w:r>
        <w:t>Total contingency drawn was $22,400,000 of $26,040,000 — 86% of the reserve. A program that finishes with reserve remaining has either been fortunate or over-provisioned; a program that exhausts it has run out of the mechanism it needs most at the end. This one used most of it and kept some, which is roughly what a correctly sized reserve looks like in hindsight.</w:t>
      </w:r>
    </w:p>
    <w:p>
      <w:pPr>
        <w:spacing w:before="320"/>
      </w:pPr>
      <w:r>
        <w:rPr>
          <w:b/>
          <w:color w:val="12304A"/>
          <w:sz w:val="28"/>
        </w:rPr>
        <w:t>3. Delivery Against the Charter</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Charter commitment</w:t>
            </w:r>
          </w:p>
        </w:tc>
        <w:tc>
          <w:tcPr>
            <w:tcW w:type="dxa" w:w="3216"/>
          </w:tcPr>
          <w:p>
            <w:r>
              <w:rPr>
                <w:b/>
                <w:sz w:val="17"/>
              </w:rPr>
              <w:t>Delivered</w:t>
            </w:r>
          </w:p>
        </w:tc>
        <w:tc>
          <w:tcPr>
            <w:tcW w:type="dxa" w:w="3216"/>
          </w:tcPr>
          <w:p>
            <w:r>
              <w:rPr>
                <w:b/>
                <w:sz w:val="17"/>
              </w:rPr>
            </w:r>
          </w:p>
        </w:tc>
      </w:tr>
      <w:tr>
        <w:tc>
          <w:tcPr>
            <w:tcW w:type="dxa" w:w="3216"/>
          </w:tcPr>
          <w:p>
            <w:r>
              <w:rPr>
                <w:sz w:val="17"/>
              </w:rPr>
              <w:t>Approved NDA for the sought indication</w:t>
            </w:r>
          </w:p>
        </w:tc>
        <w:tc>
          <w:tcPr>
            <w:tcW w:type="dxa" w:w="3216"/>
          </w:tcPr>
          <w:p>
            <w:r>
              <w:rPr>
                <w:sz w:val="17"/>
              </w:rPr>
              <w:t>Approved 2029-10-05, full indication granted</w:t>
            </w:r>
          </w:p>
        </w:tc>
        <w:tc>
          <w:tcPr>
            <w:tcW w:type="dxa" w:w="3216"/>
          </w:tcPr>
          <w:p>
            <w:r>
              <w:rPr>
                <w:sz w:val="17"/>
              </w:rPr>
              <w:t>met</w:t>
            </w:r>
          </w:p>
        </w:tc>
      </w:tr>
      <w:tr>
        <w:tc>
          <w:tcPr>
            <w:tcW w:type="dxa" w:w="3216"/>
          </w:tcPr>
          <w:p>
            <w:r>
              <w:rPr>
                <w:sz w:val="17"/>
              </w:rPr>
              <w:t>Action date held</w:t>
            </w:r>
          </w:p>
        </w:tc>
        <w:tc>
          <w:tcPr>
            <w:tcW w:type="dxa" w:w="3216"/>
          </w:tcPr>
          <w:p>
            <w:r>
              <w:rPr>
                <w:sz w:val="17"/>
              </w:rPr>
              <w:t>PDUFA met with six days to spare</w:t>
            </w:r>
          </w:p>
        </w:tc>
        <w:tc>
          <w:tcPr>
            <w:tcW w:type="dxa" w:w="3216"/>
          </w:tcPr>
          <w:p>
            <w:r>
              <w:rPr>
                <w:sz w:val="17"/>
              </w:rPr>
              <w:t>met</w:t>
            </w:r>
          </w:p>
        </w:tc>
      </w:tr>
      <w:tr>
        <w:tc>
          <w:tcPr>
            <w:tcW w:type="dxa" w:w="3216"/>
          </w:tcPr>
          <w:p>
            <w:r>
              <w:rPr>
                <w:sz w:val="17"/>
              </w:rPr>
              <w:t>Within the authorized ceiling</w:t>
            </w:r>
          </w:p>
        </w:tc>
        <w:tc>
          <w:tcPr>
            <w:tcW w:type="dxa" w:w="3216"/>
          </w:tcPr>
          <w:p>
            <w:r>
              <w:rPr>
                <w:sz w:val="17"/>
              </w:rPr>
              <w:t>$4,440,000 under</w:t>
            </w:r>
          </w:p>
        </w:tc>
        <w:tc>
          <w:tcPr>
            <w:tcW w:type="dxa" w:w="3216"/>
          </w:tcPr>
          <w:p>
            <w:r>
              <w:rPr>
                <w:sz w:val="17"/>
              </w:rPr>
              <w:t>met</w:t>
            </w:r>
          </w:p>
        </w:tc>
      </w:tr>
      <w:tr>
        <w:tc>
          <w:tcPr>
            <w:tcW w:type="dxa" w:w="3216"/>
          </w:tcPr>
          <w:p>
            <w:r>
              <w:rPr>
                <w:sz w:val="17"/>
              </w:rPr>
              <w:t>Commercial-scale manufacturing qualified</w:t>
            </w:r>
          </w:p>
        </w:tc>
        <w:tc>
          <w:tcPr>
            <w:tcW w:type="dxa" w:w="3216"/>
          </w:tcPr>
          <w:p>
            <w:r>
              <w:rPr>
                <w:sz w:val="17"/>
              </w:rPr>
              <w:t>PPQ complete; pre-approval inspection passed with one closed observation</w:t>
            </w:r>
          </w:p>
        </w:tc>
        <w:tc>
          <w:tcPr>
            <w:tcW w:type="dxa" w:w="3216"/>
          </w:tcPr>
          <w:p>
            <w:r>
              <w:rPr>
                <w:sz w:val="17"/>
              </w:rPr>
              <w:t>met</w:t>
            </w:r>
          </w:p>
        </w:tc>
      </w:tr>
      <w:tr>
        <w:tc>
          <w:tcPr>
            <w:tcW w:type="dxa" w:w="3216"/>
          </w:tcPr>
          <w:p>
            <w:r>
              <w:rPr>
                <w:sz w:val="17"/>
              </w:rPr>
              <w:t>Launch on the authorized date</w:t>
            </w:r>
          </w:p>
        </w:tc>
        <w:tc>
          <w:tcPr>
            <w:tcW w:type="dxa" w:w="3216"/>
          </w:tcPr>
          <w:p>
            <w:r>
              <w:rPr>
                <w:sz w:val="17"/>
              </w:rPr>
              <w:t>First shipment 2029-11-01</w:t>
            </w:r>
          </w:p>
        </w:tc>
        <w:tc>
          <w:tcPr>
            <w:tcW w:type="dxa" w:w="3216"/>
          </w:tcPr>
          <w:p>
            <w:r>
              <w:rPr>
                <w:sz w:val="17"/>
              </w:rPr>
              <w:t>met</w:t>
            </w:r>
          </w:p>
        </w:tc>
      </w:tr>
      <w:tr>
        <w:tc>
          <w:tcPr>
            <w:tcW w:type="dxa" w:w="3216"/>
          </w:tcPr>
          <w:p>
            <w:r>
              <w:rPr>
                <w:sz w:val="17"/>
              </w:rPr>
              <w:t>Differentiated tolerability position</w:t>
            </w:r>
          </w:p>
        </w:tc>
        <w:tc>
          <w:tcPr>
            <w:tcW w:type="dxa" w:w="3216"/>
          </w:tcPr>
          <w:p>
            <w:r>
              <w:rPr>
                <w:sz w:val="17"/>
              </w:rPr>
              <w:t>Not achieved. 6.4% GI discontinuation against a ≤4% target; no comparative claim in labeling</w:t>
            </w:r>
          </w:p>
        </w:tc>
        <w:tc>
          <w:tcPr>
            <w:tcW w:type="dxa" w:w="3216"/>
          </w:tcPr>
          <w:p>
            <w:r>
              <w:rPr>
                <w:sz w:val="17"/>
              </w:rPr>
              <w:t>not met</w:t>
            </w:r>
          </w:p>
        </w:tc>
      </w:tr>
      <w:tr>
        <w:tc>
          <w:tcPr>
            <w:tcW w:type="dxa" w:w="3216"/>
          </w:tcPr>
          <w:p>
            <w:r>
              <w:rPr>
                <w:sz w:val="17"/>
              </w:rPr>
              <w:t>Year 1 revenue at plan</w:t>
            </w:r>
          </w:p>
        </w:tc>
        <w:tc>
          <w:tcPr>
            <w:tcW w:type="dxa" w:w="3216"/>
          </w:tcPr>
          <w:p>
            <w:r>
              <w:rPr>
                <w:sz w:val="17"/>
              </w:rPr>
              <w:t>Not achieved. 22.5% below the rebuilt forecast</w:t>
            </w:r>
          </w:p>
        </w:tc>
        <w:tc>
          <w:tcPr>
            <w:tcW w:type="dxa" w:w="3216"/>
          </w:tcPr>
          <w:p>
            <w:r>
              <w:rPr>
                <w:sz w:val="17"/>
              </w:rPr>
              <w:t>not met</w:t>
            </w:r>
          </w:p>
        </w:tc>
      </w:tr>
    </w:tbl>
    <w:p/>
    <w:p>
      <w:pPr>
        <w:spacing w:before="120"/>
        <w:ind w:left="360"/>
      </w:pPr>
      <w:r>
        <w:rPr>
          <w:i/>
          <w:color w:val="12304A"/>
          <w:sz w:val="20"/>
        </w:rPr>
        <w:t>Five of seven met, and the two that were not are the two that mattered commercially.</w:t>
      </w:r>
    </w:p>
    <w:p>
      <w:pPr>
        <w:spacing w:before="120"/>
        <w:ind w:left="360"/>
      </w:pPr>
      <w:r>
        <w:rPr>
          <w:i/>
          <w:color w:val="12304A"/>
          <w:sz w:val="20"/>
        </w:rPr>
        <w:t>This is the shape of the program in one table: everything the organization controlled, it delivered. Everything that depended on how the molecule performed or how payers responded, it did not.</w:t>
      </w:r>
    </w:p>
    <w:p>
      <w:pPr>
        <w:spacing w:before="120"/>
        <w:ind w:left="360"/>
      </w:pPr>
      <w:r>
        <w:rPr>
          <w:i/>
          <w:color w:val="12304A"/>
          <w:sz w:val="20"/>
        </w:rPr>
        <w:t>That is not an excuse and should not be read as one. The differentiation target was set by this program, and the access assumption was this program's to test. But the distinction matters for what the next program should copy and what it should do differently — and a closure report exists to make exactly that distinction usable.</w:t>
      </w:r>
    </w:p>
    <w:p>
      <w:pPr>
        <w:spacing w:before="320"/>
      </w:pPr>
      <w:r>
        <w:rPr>
          <w:b/>
          <w:color w:val="12304A"/>
          <w:sz w:val="28"/>
        </w:rPr>
        <w:t>4. Lessons</w:t>
      </w:r>
    </w:p>
    <w:p>
      <w:r>
        <w:t>Five lessons are recorded, each with the evidence that produced it and a standing change to methodology. A lesson without a change is an observation.</w:t>
      </w:r>
    </w:p>
    <w:p>
      <w:pPr>
        <w:spacing w:before="200"/>
      </w:pPr>
      <w:r>
        <w:rPr>
          <w:b/>
          <w:color w:val="2B5F8E"/>
          <w:sz w:val="23"/>
        </w:rPr>
        <w:t>L-01 — Technical transfer between organizations is a risk, not an execution task</w:t>
      </w:r>
    </w:p>
    <w:p>
      <w:r>
        <w:t>I-02 cost $1,850,000 and a gate condition, and appeared on no risk register beforehand. The signal was available at Gate 1, where analytical method qualification scored at threshold and was noted but not carried forward.</w:t>
      </w:r>
    </w:p>
    <w:p>
      <w:pPr>
        <w:spacing w:before="120"/>
        <w:ind w:left="360"/>
      </w:pPr>
      <w:r>
        <w:rPr>
          <w:i/>
          <w:color w:val="12304A"/>
          <w:sz w:val="20"/>
        </w:rPr>
        <w:t>Standing change: Any transfer of a method, process or system between legal entities is registered as a risk at the gate that authorizes it.</w:t>
      </w:r>
    </w:p>
    <w:p>
      <w:pPr>
        <w:spacing w:before="200"/>
      </w:pPr>
      <w:r>
        <w:rPr>
          <w:b/>
          <w:color w:val="2B5F8E"/>
          <w:sz w:val="23"/>
        </w:rPr>
        <w:t>L-02 — Market access evidence must start when Phase 3 starts, not when Phase 3 reads out</w:t>
      </w:r>
    </w:p>
    <w:p>
      <w:r>
        <w:t>GC-03 was issued at Gate 4 because the payer evidence plan was still a plan three years into the program. It closed late, and coverage at launch reached 44% of lives against a 62% assumption — the single largest contributor to the revenue shortfall.</w:t>
      </w:r>
    </w:p>
    <w:p>
      <w:pPr>
        <w:spacing w:before="120"/>
        <w:ind w:left="360"/>
      </w:pPr>
      <w:r>
        <w:rPr>
          <w:i/>
          <w:color w:val="12304A"/>
          <w:sz w:val="20"/>
        </w:rPr>
        <w:t>Standing change: Payer evidence generation is a Gate 3 deliverable in future programs, not a Gate 4 one.</w:t>
      </w:r>
    </w:p>
    <w:p>
      <w:pPr>
        <w:spacing w:before="200"/>
      </w:pPr>
      <w:r>
        <w:rPr>
          <w:b/>
          <w:color w:val="2B5F8E"/>
          <w:sz w:val="23"/>
        </w:rPr>
        <w:t>L-03 — A differentiation claim that is not a primary endpoint may not survive to the label</w:t>
      </w:r>
    </w:p>
    <w:p>
      <w:r>
        <w:t>GI-attributed discontinuation was the entire differentiation thesis and sat fourth in the testing hierarchy. It cleared the minimum acceptable position but missed target, and the approved label carries no comparative tolerability claim.</w:t>
      </w:r>
    </w:p>
    <w:p>
      <w:pPr>
        <w:spacing w:before="120"/>
        <w:ind w:left="360"/>
      </w:pPr>
      <w:r>
        <w:rPr>
          <w:i/>
          <w:color w:val="12304A"/>
          <w:sz w:val="20"/>
        </w:rPr>
        <w:t>Standing change: Where a commercial thesis depends on an endpoint, the program decides at protocol design whether it can be positioned high enough in the hierarchy to support a claim — and if it cannot, the business case is rebuilt without it.</w:t>
      </w:r>
    </w:p>
    <w:p>
      <w:pPr>
        <w:spacing w:before="200"/>
      </w:pPr>
      <w:r>
        <w:rPr>
          <w:b/>
          <w:color w:val="2B5F8E"/>
          <w:sz w:val="23"/>
        </w:rPr>
        <w:t>L-04 — The abstention was the most valuable thing said at Gate 4</w:t>
      </w:r>
    </w:p>
    <w:p>
      <w:r>
        <w:t>The CFO abstained on un-refreshed gross-to-net assumptions. Actual net price at launch was $11,050 against a $12,500 assumption.</w:t>
      </w:r>
    </w:p>
    <w:p>
      <w:pPr>
        <w:spacing w:before="120"/>
        <w:ind w:left="360"/>
      </w:pPr>
      <w:r>
        <w:rPr>
          <w:i/>
          <w:color w:val="12304A"/>
          <w:sz w:val="20"/>
        </w:rPr>
        <w:t>Standing change: Recorded abstentions carry a standing review item at the following gate.</w:t>
      </w:r>
    </w:p>
    <w:p>
      <w:pPr>
        <w:spacing w:before="200"/>
      </w:pPr>
      <w:r>
        <w:rPr>
          <w:b/>
          <w:color w:val="2B5F8E"/>
          <w:sz w:val="23"/>
        </w:rPr>
        <w:t>L-05 — The gate structure worked</w:t>
      </w:r>
    </w:p>
    <w:p>
      <w:r>
        <w:t>Every tranche was released against evidence, no stage was funded before its gate carried, and the program closed $4,440,000 under a ceiling set three years before approval.</w:t>
      </w:r>
    </w:p>
    <w:p>
      <w:pPr>
        <w:spacing w:before="120"/>
        <w:ind w:left="360"/>
      </w:pPr>
      <w:r>
        <w:rPr>
          <w:i/>
          <w:color w:val="12304A"/>
          <w:sz w:val="20"/>
        </w:rPr>
        <w:t>Standing change: No change recommended.</w:t>
      </w:r>
    </w:p>
    <w:p>
      <w:pPr>
        <w:spacing w:before="120"/>
        <w:ind w:left="360"/>
      </w:pPr>
      <w:r>
        <w:rPr>
          <w:i/>
          <w:color w:val="12304A"/>
          <w:sz w:val="20"/>
        </w:rPr>
        <w:t>Note that L-05 recommends no change at all. That is deliberate and it is the hardest kind of lesson to write, because a closure report is under quiet pressure to demonstrate learning — and demonstrating learning usually means proposing changes.</w:t>
      </w:r>
    </w:p>
    <w:p>
      <w:pPr>
        <w:spacing w:before="120"/>
        <w:ind w:left="360"/>
      </w:pPr>
      <w:r>
        <w:rPr>
          <w:i/>
          <w:color w:val="12304A"/>
          <w:sz w:val="20"/>
        </w:rPr>
        <w:t>The gate structure worked. Every tranche was released against evidence, no stage was funded before its gate carried, and the ceiling held for four years. Recommending changes to a mechanism that performed would make the report look more thorough and the methodology worse.</w:t>
      </w:r>
    </w:p>
    <w:p>
      <w:pPr>
        <w:spacing w:before="320"/>
      </w:pPr>
      <w:r>
        <w:rPr>
          <w:b/>
          <w:color w:val="12304A"/>
          <w:sz w:val="28"/>
        </w:rPr>
        <w:t>5. Obligations Transferred</w:t>
      </w:r>
    </w:p>
    <w:p>
      <w:r>
        <w:t>Nothing the program owns may end with the program. Each obligation below was accepted in writing by a permanent function before closure.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Obligation</w:t>
            </w:r>
          </w:p>
        </w:tc>
        <w:tc>
          <w:tcPr>
            <w:tcW w:type="dxa" w:w="3216"/>
          </w:tcPr>
          <w:p>
            <w:r>
              <w:rPr>
                <w:b/>
                <w:sz w:val="17"/>
              </w:rPr>
              <w:t>Transferred to</w:t>
            </w:r>
          </w:p>
        </w:tc>
        <w:tc>
          <w:tcPr>
            <w:tcW w:type="dxa" w:w="3216"/>
          </w:tcPr>
          <w:p>
            <w:r>
              <w:rPr>
                <w:b/>
                <w:sz w:val="17"/>
              </w:rPr>
              <w:t>Runs until</w:t>
            </w:r>
          </w:p>
        </w:tc>
      </w:tr>
      <w:tr>
        <w:tc>
          <w:tcPr>
            <w:tcW w:type="dxa" w:w="3216"/>
          </w:tcPr>
          <w:p>
            <w:r>
              <w:rPr>
                <w:sz w:val="17"/>
              </w:rPr>
              <w:t>Pharmacovigilance and safety reporting</w:t>
            </w:r>
          </w:p>
        </w:tc>
        <w:tc>
          <w:tcPr>
            <w:tcW w:type="dxa" w:w="3216"/>
          </w:tcPr>
          <w:p>
            <w:r>
              <w:rPr>
                <w:sz w:val="17"/>
              </w:rPr>
              <w:t>Drug Safety</w:t>
            </w:r>
          </w:p>
        </w:tc>
        <w:tc>
          <w:tcPr>
            <w:tcW w:type="dxa" w:w="3216"/>
          </w:tcPr>
          <w:p>
            <w:r>
              <w:rPr>
                <w:sz w:val="17"/>
              </w:rPr>
              <w:t>Life of the product</w:t>
            </w:r>
          </w:p>
        </w:tc>
      </w:tr>
      <w:tr>
        <w:tc>
          <w:tcPr>
            <w:tcW w:type="dxa" w:w="3216"/>
          </w:tcPr>
          <w:p>
            <w:r>
              <w:rPr>
                <w:sz w:val="17"/>
              </w:rPr>
              <w:t>PMR-1 — pediatric study, ages 12–17</w:t>
            </w:r>
          </w:p>
        </w:tc>
        <w:tc>
          <w:tcPr>
            <w:tcW w:type="dxa" w:w="3216"/>
          </w:tcPr>
          <w:p>
            <w:r>
              <w:rPr>
                <w:sz w:val="17"/>
              </w:rPr>
              <w:t>Clinical Development</w:t>
            </w:r>
          </w:p>
        </w:tc>
        <w:tc>
          <w:tcPr>
            <w:tcW w:type="dxa" w:w="3216"/>
          </w:tcPr>
          <w:p>
            <w:r>
              <w:rPr>
                <w:sz w:val="17"/>
              </w:rPr>
              <w:t>2034</w:t>
            </w:r>
          </w:p>
        </w:tc>
      </w:tr>
      <w:tr>
        <w:tc>
          <w:tcPr>
            <w:tcW w:type="dxa" w:w="3216"/>
          </w:tcPr>
          <w:p>
            <w:r>
              <w:rPr>
                <w:sz w:val="17"/>
              </w:rPr>
              <w:t>PMR-2 — cardiovascular outcomes follow-up</w:t>
            </w:r>
          </w:p>
        </w:tc>
        <w:tc>
          <w:tcPr>
            <w:tcW w:type="dxa" w:w="3216"/>
          </w:tcPr>
          <w:p>
            <w:r>
              <w:rPr>
                <w:sz w:val="17"/>
              </w:rPr>
              <w:t>Clinical Development</w:t>
            </w:r>
          </w:p>
        </w:tc>
        <w:tc>
          <w:tcPr>
            <w:tcW w:type="dxa" w:w="3216"/>
          </w:tcPr>
          <w:p>
            <w:r>
              <w:rPr>
                <w:sz w:val="17"/>
              </w:rPr>
              <w:t>2035</w:t>
            </w:r>
          </w:p>
        </w:tc>
      </w:tr>
      <w:tr>
        <w:tc>
          <w:tcPr>
            <w:tcW w:type="dxa" w:w="3216"/>
          </w:tcPr>
          <w:p>
            <w:r>
              <w:rPr>
                <w:sz w:val="17"/>
              </w:rPr>
              <w:t>PMC-1 — pregnancy exposure registry</w:t>
            </w:r>
          </w:p>
        </w:tc>
        <w:tc>
          <w:tcPr>
            <w:tcW w:type="dxa" w:w="3216"/>
          </w:tcPr>
          <w:p>
            <w:r>
              <w:rPr>
                <w:sz w:val="17"/>
              </w:rPr>
              <w:t>Drug Safety</w:t>
            </w:r>
          </w:p>
        </w:tc>
        <w:tc>
          <w:tcPr>
            <w:tcW w:type="dxa" w:w="3216"/>
          </w:tcPr>
          <w:p>
            <w:r>
              <w:rPr>
                <w:sz w:val="17"/>
              </w:rPr>
              <w:t>Ongoing</w:t>
            </w:r>
          </w:p>
        </w:tc>
      </w:tr>
      <w:tr>
        <w:tc>
          <w:tcPr>
            <w:tcW w:type="dxa" w:w="3216"/>
          </w:tcPr>
          <w:p>
            <w:r>
              <w:rPr>
                <w:sz w:val="17"/>
              </w:rPr>
              <w:t>PMC-2 — ongoing stability program</w:t>
            </w:r>
          </w:p>
        </w:tc>
        <w:tc>
          <w:tcPr>
            <w:tcW w:type="dxa" w:w="3216"/>
          </w:tcPr>
          <w:p>
            <w:r>
              <w:rPr>
                <w:sz w:val="17"/>
              </w:rPr>
              <w:t>Technical Operations</w:t>
            </w:r>
          </w:p>
        </w:tc>
        <w:tc>
          <w:tcPr>
            <w:tcW w:type="dxa" w:w="3216"/>
          </w:tcPr>
          <w:p>
            <w:r>
              <w:rPr>
                <w:sz w:val="17"/>
              </w:rPr>
              <w:t>Life of the product</w:t>
            </w:r>
          </w:p>
        </w:tc>
      </w:tr>
      <w:tr>
        <w:tc>
          <w:tcPr>
            <w:tcW w:type="dxa" w:w="3216"/>
          </w:tcPr>
          <w:p>
            <w:r>
              <w:rPr>
                <w:sz w:val="17"/>
              </w:rPr>
              <w:t>Commercial manufacturing oversight at Aldergate</w:t>
            </w:r>
          </w:p>
        </w:tc>
        <w:tc>
          <w:tcPr>
            <w:tcW w:type="dxa" w:w="3216"/>
          </w:tcPr>
          <w:p>
            <w:r>
              <w:rPr>
                <w:sz w:val="17"/>
              </w:rPr>
              <w:t>Technical Operations</w:t>
            </w:r>
          </w:p>
        </w:tc>
        <w:tc>
          <w:tcPr>
            <w:tcW w:type="dxa" w:w="3216"/>
          </w:tcPr>
          <w:p>
            <w:r>
              <w:rPr>
                <w:sz w:val="17"/>
              </w:rPr>
              <w:t>Life of the contract</w:t>
            </w:r>
          </w:p>
        </w:tc>
      </w:tr>
      <w:tr>
        <w:tc>
          <w:tcPr>
            <w:tcW w:type="dxa" w:w="3216"/>
          </w:tcPr>
          <w:p>
            <w:r>
              <w:rPr>
                <w:sz w:val="17"/>
              </w:rPr>
              <w:t>Benefit tracking B-01, B-02, B-05</w:t>
            </w:r>
          </w:p>
        </w:tc>
        <w:tc>
          <w:tcPr>
            <w:tcW w:type="dxa" w:w="3216"/>
          </w:tcPr>
          <w:p>
            <w:r>
              <w:rPr>
                <w:sz w:val="17"/>
              </w:rPr>
              <w:t>CFO / SVP Market Access / CSO</w:t>
            </w:r>
          </w:p>
        </w:tc>
        <w:tc>
          <w:tcPr>
            <w:tcW w:type="dxa" w:w="3216"/>
          </w:tcPr>
          <w:p>
            <w:r>
              <w:rPr>
                <w:sz w:val="17"/>
              </w:rPr>
              <w:t>2039 (longest)</w:t>
            </w:r>
          </w:p>
        </w:tc>
      </w:tr>
      <w:tr>
        <w:tc>
          <w:tcPr>
            <w:tcW w:type="dxa" w:w="3216"/>
          </w:tcPr>
          <w:p>
            <w:r>
              <w:rPr>
                <w:sz w:val="17"/>
              </w:rPr>
              <w:t>Regulatory lifecycle maintenance</w:t>
            </w:r>
          </w:p>
        </w:tc>
        <w:tc>
          <w:tcPr>
            <w:tcW w:type="dxa" w:w="3216"/>
          </w:tcPr>
          <w:p>
            <w:r>
              <w:rPr>
                <w:sz w:val="17"/>
              </w:rPr>
              <w:t>Regulatory Affairs</w:t>
            </w:r>
          </w:p>
        </w:tc>
        <w:tc>
          <w:tcPr>
            <w:tcW w:type="dxa" w:w="3216"/>
          </w:tcPr>
          <w:p>
            <w:r>
              <w:rPr>
                <w:sz w:val="17"/>
              </w:rPr>
              <w:t>Life of the product</w:t>
            </w:r>
          </w:p>
        </w:tc>
      </w:tr>
    </w:tbl>
    <w:p/>
    <w:p>
      <w:pPr>
        <w:spacing w:before="120"/>
        <w:ind w:left="360"/>
      </w:pPr>
      <w:r>
        <w:rPr>
          <w:i/>
          <w:color w:val="12304A"/>
          <w:sz w:val="20"/>
        </w:rPr>
        <w:t>Written acceptance is the mechanism, and it is weaker than it looks. As the Benefits Realization §5 records, the Development Committee dissolves at closure — so the body that would enforce these transfers is the same body that ceases to exist.</w:t>
      </w:r>
    </w:p>
    <w:p>
      <w:pPr>
        <w:spacing w:before="120"/>
        <w:ind w:left="360"/>
      </w:pPr>
      <w:r>
        <w:rPr>
          <w:i/>
          <w:color w:val="12304A"/>
          <w:sz w:val="20"/>
        </w:rPr>
        <w:t>What written acceptance actually achieves is narrower and still worth having: it converts a future failure from an accident into an identifiable omission by a named function. That is not enforcement. It is the precondition for enforcement by whoever eventually asks.</w:t>
      </w:r>
    </w:p>
    <w:p>
      <w:pPr>
        <w:spacing w:before="320"/>
      </w:pPr>
      <w:r>
        <w:rPr>
          <w:b/>
          <w:color w:val="12304A"/>
          <w:sz w:val="28"/>
        </w:rPr>
        <w:t>6. Records, Retention and People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Category</w:t>
            </w:r>
          </w:p>
        </w:tc>
        <w:tc>
          <w:tcPr>
            <w:tcW w:type="dxa" w:w="4824"/>
          </w:tcPr>
          <w:p>
            <w:r>
              <w:rPr>
                <w:b/>
                <w:sz w:val="17"/>
              </w:rPr>
              <w:t>Disposition</w:t>
            </w:r>
          </w:p>
        </w:tc>
      </w:tr>
      <w:tr>
        <w:tc>
          <w:tcPr>
            <w:tcW w:type="dxa" w:w="4824"/>
          </w:tcPr>
          <w:p>
            <w:r>
              <w:rPr>
                <w:sz w:val="17"/>
              </w:rPr>
              <w:t>Trial master file</w:t>
            </w:r>
          </w:p>
        </w:tc>
        <w:tc>
          <w:tcPr>
            <w:tcW w:type="dxa" w:w="4824"/>
          </w:tcPr>
          <w:p>
            <w:r>
              <w:rPr>
                <w:sz w:val="17"/>
              </w:rPr>
              <w:t>Retained per ICH E6 and 21 CFR 312.62. Archived, not destroyed.</w:t>
            </w:r>
          </w:p>
        </w:tc>
      </w:tr>
      <w:tr>
        <w:tc>
          <w:tcPr>
            <w:tcW w:type="dxa" w:w="4824"/>
          </w:tcPr>
          <w:p>
            <w:r>
              <w:rPr>
                <w:sz w:val="17"/>
              </w:rPr>
              <w:t>Manufacturing batch records</w:t>
            </w:r>
          </w:p>
        </w:tc>
        <w:tc>
          <w:tcPr>
            <w:tcW w:type="dxa" w:w="4824"/>
          </w:tcPr>
          <w:p>
            <w:r>
              <w:rPr>
                <w:sz w:val="17"/>
              </w:rPr>
              <w:t>Retained per 21 CFR 211.180, transferred to Technical Operations.</w:t>
            </w:r>
          </w:p>
        </w:tc>
      </w:tr>
      <w:tr>
        <w:tc>
          <w:tcPr>
            <w:tcW w:type="dxa" w:w="4824"/>
          </w:tcPr>
          <w:p>
            <w:r>
              <w:rPr>
                <w:sz w:val="17"/>
              </w:rPr>
              <w:t>Safety database</w:t>
            </w:r>
          </w:p>
        </w:tc>
        <w:tc>
          <w:tcPr>
            <w:tcW w:type="dxa" w:w="4824"/>
          </w:tcPr>
          <w:p>
            <w:r>
              <w:rPr>
                <w:sz w:val="17"/>
              </w:rPr>
              <w:t>Live system, transferred to Drug Safety. Not archived.</w:t>
            </w:r>
          </w:p>
        </w:tc>
      </w:tr>
      <w:tr>
        <w:tc>
          <w:tcPr>
            <w:tcW w:type="dxa" w:w="4824"/>
          </w:tcPr>
          <w:p>
            <w:r>
              <w:rPr>
                <w:sz w:val="17"/>
              </w:rPr>
              <w:t>Regulatory dossier and correspondence</w:t>
            </w:r>
          </w:p>
        </w:tc>
        <w:tc>
          <w:tcPr>
            <w:tcW w:type="dxa" w:w="4824"/>
          </w:tcPr>
          <w:p>
            <w:r>
              <w:rPr>
                <w:sz w:val="17"/>
              </w:rPr>
              <w:t>Live, transferred to Regulatory Affairs.</w:t>
            </w:r>
          </w:p>
        </w:tc>
      </w:tr>
      <w:tr>
        <w:tc>
          <w:tcPr>
            <w:tcW w:type="dxa" w:w="4824"/>
          </w:tcPr>
          <w:p>
            <w:r>
              <w:rPr>
                <w:sz w:val="17"/>
              </w:rPr>
              <w:t>Governance records — gate packs, minutes, decisions</w:t>
            </w:r>
          </w:p>
        </w:tc>
        <w:tc>
          <w:tcPr>
            <w:tcW w:type="dxa" w:w="4824"/>
          </w:tcPr>
          <w:p>
            <w:r>
              <w:rPr>
                <w:sz w:val="17"/>
              </w:rPr>
              <w:t>Archived and indexed. The evidentiary record of every authorization.</w:t>
            </w:r>
          </w:p>
        </w:tc>
      </w:tr>
      <w:tr>
        <w:tc>
          <w:tcPr>
            <w:tcW w:type="dxa" w:w="4824"/>
          </w:tcPr>
          <w:p>
            <w:r>
              <w:rPr>
                <w:sz w:val="17"/>
              </w:rPr>
              <w:t>Program financial records</w:t>
            </w:r>
          </w:p>
        </w:tc>
        <w:tc>
          <w:tcPr>
            <w:tcW w:type="dxa" w:w="4824"/>
          </w:tcPr>
          <w:p>
            <w:r>
              <w:rPr>
                <w:sz w:val="17"/>
              </w:rPr>
              <w:t>Transferred to Finance, retained per SOX schedule.</w:t>
            </w:r>
          </w:p>
        </w:tc>
      </w:tr>
      <w:tr>
        <w:tc>
          <w:tcPr>
            <w:tcW w:type="dxa" w:w="4824"/>
          </w:tcPr>
          <w:p>
            <w:r>
              <w:rPr>
                <w:sz w:val="17"/>
              </w:rPr>
              <w:t>Program team</w:t>
            </w:r>
          </w:p>
        </w:tc>
        <w:tc>
          <w:tcPr>
            <w:tcW w:type="dxa" w:w="4824"/>
          </w:tcPr>
          <w:p>
            <w:r>
              <w:rPr>
                <w:sz w:val="17"/>
              </w:rPr>
              <w:t>109 roles released to functions or to other programs over the final two quarters.</w:t>
            </w:r>
          </w:p>
        </w:tc>
      </w:tr>
    </w:tbl>
    <w:p/>
    <w:p>
      <w:pPr>
        <w:spacing w:before="120"/>
        <w:ind w:left="360"/>
      </w:pPr>
      <w:r>
        <w:rPr>
          <w:i/>
          <w:color w:val="12304A"/>
          <w:sz w:val="20"/>
        </w:rPr>
        <w:t>The governance archive is the row people skip and the one this suite exists to argue for. Gate packs, minutes and decision records have no operational use after closure. They are retained because a regulator, an auditor, a litigant or a successor program may need to establish what was decided, on what evidence, by whom, and when — years after everyone involved has moved on.</w:t>
      </w:r>
    </w:p>
    <w:p>
      <w:pPr>
        <w:spacing w:before="120"/>
        <w:ind w:left="360"/>
      </w:pPr>
      <w:r>
        <w:rPr>
          <w:i/>
          <w:color w:val="12304A"/>
          <w:sz w:val="20"/>
        </w:rPr>
        <w:t>A program that cannot answer that question has not kept records. It has kept files.</w:t>
      </w:r>
    </w:p>
    <w:p>
      <w:r>
        <w:t>Team release was phased over the final two quarters rather than at closure. A program that disbands on its closure date has nobody left to write the closure report, which is one reason so many closure reports are thin.</w:t>
      </w:r>
    </w:p>
    <w:p>
      <w:pPr>
        <w:spacing w:before="320"/>
      </w:pPr>
      <w:r>
        <w:rPr>
          <w:b/>
          <w:color w:val="12304A"/>
          <w:sz w:val="28"/>
        </w:rPr>
        <w:t>7. Final Assessment</w:t>
      </w:r>
    </w:p>
    <w:p>
      <w:r>
        <w:t>Stated plainly, because a closure report that requires interpretation has failed.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r>
          </w:p>
        </w:tc>
      </w:tr>
      <w:tr>
        <w:tc>
          <w:tcPr>
            <w:tcW w:type="dxa" w:w="4824"/>
          </w:tcPr>
          <w:p>
            <w:r>
              <w:rPr>
                <w:sz w:val="17"/>
              </w:rPr>
              <w:t>Was the program well run?</w:t>
            </w:r>
          </w:p>
        </w:tc>
        <w:tc>
          <w:tcPr>
            <w:tcW w:type="dxa" w:w="4824"/>
          </w:tcPr>
          <w:p>
            <w:r>
              <w:rPr>
                <w:sz w:val="17"/>
              </w:rPr>
              <w:t>Yes. Seven gates carried on evidence, ceiling held for four years, closed $4,440,000 under, regulatory execution near-flawless.</w:t>
            </w:r>
          </w:p>
        </w:tc>
      </w:tr>
      <w:tr>
        <w:tc>
          <w:tcPr>
            <w:tcW w:type="dxa" w:w="4824"/>
          </w:tcPr>
          <w:p>
            <w:r>
              <w:rPr>
                <w:sz w:val="17"/>
              </w:rPr>
              <w:t>Did it produce a good asset?</w:t>
            </w:r>
          </w:p>
        </w:tc>
        <w:tc>
          <w:tcPr>
            <w:tcW w:type="dxa" w:w="4824"/>
          </w:tcPr>
          <w:p>
            <w:r>
              <w:rPr>
                <w:sz w:val="17"/>
              </w:rPr>
              <w:t>Adequate. An approved product with a broad label, no REMS, and no differentiation from an established class.</w:t>
            </w:r>
          </w:p>
        </w:tc>
      </w:tr>
      <w:tr>
        <w:tc>
          <w:tcPr>
            <w:tcW w:type="dxa" w:w="4824"/>
          </w:tcPr>
          <w:p>
            <w:r>
              <w:rPr>
                <w:sz w:val="17"/>
              </w:rPr>
              <w:t>Is it returning the investment?</w:t>
            </w:r>
          </w:p>
        </w:tc>
        <w:tc>
          <w:tcPr>
            <w:tcW w:type="dxa" w:w="4824"/>
          </w:tcPr>
          <w:p>
            <w:r>
              <w:rPr>
                <w:sz w:val="17"/>
              </w:rPr>
              <w:t>Not yet, and not on the modeled trajectory. Year 1 revenue 22.5% below plan. Judgment deferred to 2039.</w:t>
            </w:r>
          </w:p>
        </w:tc>
      </w:tr>
      <w:tr>
        <w:tc>
          <w:tcPr>
            <w:tcW w:type="dxa" w:w="4824"/>
          </w:tcPr>
          <w:p>
            <w:r>
              <w:rPr>
                <w:sz w:val="17"/>
              </w:rPr>
              <w:t>Did governance work?</w:t>
            </w:r>
          </w:p>
        </w:tc>
        <w:tc>
          <w:tcPr>
            <w:tcW w:type="dxa" w:w="4824"/>
          </w:tcPr>
          <w:p>
            <w:r>
              <w:rPr>
                <w:sz w:val="17"/>
              </w:rPr>
              <w:t>Yes — at what it does. It surfaced three of the four adverse outcomes years in advance and recorded them where nobody could claim surprise.</w:t>
            </w:r>
          </w:p>
        </w:tc>
      </w:tr>
      <w:tr>
        <w:tc>
          <w:tcPr>
            <w:tcW w:type="dxa" w:w="4824"/>
          </w:tcPr>
          <w:p>
            <w:r>
              <w:rPr>
                <w:sz w:val="17"/>
              </w:rPr>
              <w:t>Did governance prevent the bad outcomes?</w:t>
            </w:r>
          </w:p>
        </w:tc>
        <w:tc>
          <w:tcPr>
            <w:tcW w:type="dxa" w:w="4824"/>
          </w:tcPr>
          <w:p>
            <w:r>
              <w:rPr>
                <w:sz w:val="17"/>
              </w:rPr>
              <w:t>No. GC-03 was issued, flagged, closed late, and the coverage shortfall arrived anyway.</w:t>
            </w:r>
          </w:p>
        </w:tc>
      </w:tr>
    </w:tbl>
    <w:p/>
    <w:p>
      <w:pPr>
        <w:spacing w:before="120"/>
        <w:ind w:left="360"/>
      </w:pPr>
      <w:r>
        <w:rPr>
          <w:i/>
          <w:color w:val="12304A"/>
          <w:sz w:val="20"/>
        </w:rPr>
        <w:t>The last two rows are the honest summary of this entire suite, and they are not in tension.</w:t>
      </w:r>
    </w:p>
    <w:p>
      <w:pPr>
        <w:spacing w:before="120"/>
        <w:ind w:left="360"/>
      </w:pPr>
      <w:r>
        <w:rPr>
          <w:i/>
          <w:color w:val="12304A"/>
          <w:sz w:val="20"/>
        </w:rPr>
        <w:t>A governance system converts unknown problems into known ones. It did that: the access risk, the pricing risk and the labeling constraint were all on the record, in writing, with owners, years before they arrived.</w:t>
      </w:r>
    </w:p>
    <w:p>
      <w:pPr>
        <w:spacing w:before="120"/>
        <w:ind w:left="360"/>
      </w:pPr>
      <w:r>
        <w:rPr>
          <w:i/>
          <w:color w:val="12304A"/>
          <w:sz w:val="20"/>
        </w:rPr>
        <w:t>Acting on a known problem is a management decision, not a governance function. This program knew about its access position in June 2026 and launched with it unresolved in November 2029. Nothing in the governance system failed. The organization was told, and chose — defensibly — to proceed.</w:t>
      </w:r>
    </w:p>
    <w:p>
      <w:pPr>
        <w:spacing w:before="120"/>
        <w:ind w:left="360"/>
      </w:pPr>
      <w:r>
        <w:rPr>
          <w:i/>
          <w:color w:val="12304A"/>
          <w:sz w:val="20"/>
        </w:rPr>
        <w:t>That is what a governance system is for, and it is also its limit. A program that expects governance to prevent bad outcomes has misunderstood it. Governance guarantees only that the outcome was chosen rather than suffered — which is worth a great deal, and is not the same as a good result.</w:t>
      </w:r>
    </w:p>
    <w:p>
      <w:r>
        <w:t>The program is closed. The product is on the market, the obligations are owned, the archive is indexed, and the question of whether it was worth $238,600,000 will be answered in 2039 by people who were not here.</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