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NARRATIVE RECORD · VITALIS THERAPEUTICS INC.</w:t>
      </w:r>
    </w:p>
    <w:p>
      <w:r>
        <w:rPr>
          <w:b/>
          <w:color w:val="12304A"/>
          <w:sz w:val="44"/>
        </w:rPr>
        <w:t>Program Story</w:t>
      </w:r>
    </w:p>
    <w:p>
      <w:r>
        <w:rPr>
          <w:i/>
          <w:color w:val="6B7280"/>
          <w:sz w:val="17"/>
        </w:rPr>
        <w:t>Vitalis Therapeutics Inc. · VitaFlow (VTX-401) · Program Story · status 15 October 2026. Fictional program created as a program management portfolio artifact. No clinical data underlies any claim made here.</w:t>
      </w:r>
    </w:p>
    <w:p/>
    <w:p>
      <w:r>
        <w:t>Vitalis Therapeutics Inc. — The narrative arc of the VitaFlow (VTX-401) program from candidate selection in March 2022 to its position at 15 October 2026: six gates held, one pending, $101,000,000 spent, and a molecule in Phase 3 whose outcome is not yet known. Includes what the program got wrong.</w:t>
      </w:r>
    </w:p>
    <w:p>
      <w:pPr>
        <w:spacing w:before="320"/>
      </w:pPr>
      <w:r>
        <w:rPr>
          <w:b/>
          <w:color w:val="12304A"/>
          <w:sz w:val="28"/>
        </w:rPr>
        <w:t>1. How to Read This Suite</w:t>
      </w:r>
    </w:p>
    <w:p>
      <w:r>
        <w:t>A stage-gate governance suite is a collection of instruments, each written for a particular purpose at a particular moment. The Charter authorizes. The Committee Charter constitutes the body that decides. The Gate Framework supplies the criteria. The RAID Log records what is uncertain and the Budget records what it costs.</w:t>
      </w:r>
    </w:p>
    <w:p>
      <w:r>
        <w:t>None of them tells you what happened. That is this document's job.</w:t>
      </w:r>
    </w:p>
    <w:p>
      <w:r>
        <w:t>What follows is the arc of the VitaFlow program from candidate selection in March 2022 to its position at the status date of 15 October 2026 — six gates held, one pending, roughly $101,000,000 spent, and a molecule in Phase 3 whose fate is genuinely not yet known. It includes the two things a governance suite usually omits: what the program got wrong, and what it does not yet know.</w:t>
      </w:r>
    </w:p>
    <w:p>
      <w:pPr>
        <w:spacing w:before="120"/>
        <w:ind w:left="360"/>
      </w:pPr>
      <w:r>
        <w:rPr>
          <w:i/>
          <w:color w:val="12304A"/>
          <w:sz w:val="20"/>
        </w:rPr>
        <w:t>This is a fictional program. Vitalis Therapeutics Inc., VitaFlow, the partner organizations and every named individual are invented. The figures are internally consistent and the methodology is real, but no clinical data underlies any claim made here.</w:t>
      </w:r>
    </w:p>
    <w:p>
      <w:pPr>
        <w:spacing w:before="320"/>
      </w:pPr>
      <w:r>
        <w:rPr>
          <w:b/>
          <w:color w:val="12304A"/>
          <w:sz w:val="28"/>
        </w:rPr>
        <w:t>2. The Starting Position — Gate 0, March 2022</w:t>
      </w:r>
    </w:p>
    <w:p>
      <w:r>
        <w:t>Chronic weight management had changed shape. A therapeutic area that had spent decades as a commercial disappointment became, inside a single product cycle, one of the largest opportunities in pharmaceuticals. By 2022 the clinical question was no longer whether GLP-1 receptor agonists produced meaningful weight reduction — that was settled — but what constrained their use.</w:t>
      </w:r>
    </w:p>
    <w:p>
      <w:r>
        <w:t>The answer, consistently, was tolerability. Gastrointestinal adverse events drove discontinuation at rates that meant a substantial fraction of patients who started therapy did not stay on it. That is a clinical problem and a commercial one simultaneously: a drug patients stop taking generates neither outcomes nor revenue.</w:t>
      </w:r>
    </w:p>
    <w:p>
      <w:r>
        <w:t>Vitalis Therapeutics Inc. entered against that constraint rather than against efficacy. VTX-401 was selected at Gate 0 on preclinical data suggesting a receptor engagement profile with a wider therapeutic window — efficacy at doses below the threshold where tolerability degraded. The differentiation thesis has been tolerability at an efficacious dose from the first day of the program, and every subsequent decision traces back to it.</w:t>
      </w:r>
    </w:p>
    <w:p>
      <w:r>
        <w:t>Gate 0 carried GO (6-0) and released $17,400,000. In stage-gate terms this was the cheapest decision the program would ever take: buying an option on a molecule, at 8% of what the program would eventually cost, against a probability of eventual approval of roughly 7%. Most such options expire worthless. That is not a failure of selection; it is what a portfolio of options means.</w:t>
      </w:r>
    </w:p>
    <w:p>
      <w:pPr>
        <w:spacing w:before="320"/>
      </w:pPr>
      <w:r>
        <w:rPr>
          <w:b/>
          <w:color w:val="12304A"/>
          <w:sz w:val="28"/>
        </w:rPr>
        <w:t>3. Nonclinical — Gate 1, December 2022</w:t>
      </w:r>
    </w:p>
    <w:p>
      <w:r>
        <w:t>Stage 1 ran ten months and did the unglamorous work: GLP toxicology, pharmacokinetics, safety pharmacology, the drug substance synthetic route, and enough formulation work to dose humans.</w:t>
      </w:r>
    </w:p>
    <w:p>
      <w:r>
        <w:t>Two decisions were taken here that shaped everything downstream. The first was D-01 — file a 505(b)(1) New Drug Application as a new molecular entity rather than pursue a 505(b)(2) referencing a listed drug. A 505(b)(2) route was assessed and closed: no suitable reference product existed, and constructing one would have imported another company's safety profile into a program whose entire thesis was that its safety profile was different. That decision committed Vitalis Therapeutics Inc. to a full nonclinical package, a complete clinical program from first-in-human, and a self-contained CMC dossier with nothing carried across.</w:t>
      </w:r>
    </w:p>
    <w:p>
      <w:r>
        <w:t>The second was D-02 — a once-weekly subcutaneous prefilled pen, with no oral formulation at launch. Oral GLP-1 bioavailability work would have added roughly eighteen months and a second CMC program for a segment the launch case did not require. It remains deferred rather than abandoned.</w:t>
      </w:r>
    </w:p>
    <w:p>
      <w:r>
        <w:t>Gate 1 carried GO (5-1) — the only split vote before Gate 4, on analytical method qualification, which scored at threshold. That criterion would return.</w:t>
      </w:r>
    </w:p>
    <w:p>
      <w:pPr>
        <w:spacing w:before="320"/>
      </w:pPr>
      <w:r>
        <w:rPr>
          <w:b/>
          <w:color w:val="12304A"/>
          <w:sz w:val="28"/>
        </w:rPr>
        <w:t>4. Into Humans — Gate 2 and Phase 1</w:t>
      </w:r>
    </w:p>
    <w:p>
      <w:r>
        <w:t>The IND was submitted and cleared the thirty-day safety review in June 2023. Gate 2 released no tranche — it is a submission gate, and the IND is filed within the Stage 2 authorization. The distinction matters: the agency's review clock is a regulatory event, not a governance decision, and building a funding gate around it would have handed the release schedule to an external timetable.</w:t>
      </w:r>
    </w:p>
    <w:p>
      <w:r>
        <w:t>The Pre-IND meeting of 14 May 2023 had confirmed the nonclinical package was sufficient and settled the first-in-human design. Phase 1 ran single and multiple ascending dose in 64 healthy volunteers.</w:t>
      </w:r>
    </w:p>
    <w:p>
      <w:r>
        <w:t>The first thing to go wrong was small. I-01 — recruitment ran four weeks behind plan in early 2025. Two additional units were activated and the study recovered inside the stage with no gate impact. It is recorded in the RAID log not because it mattered but because recording only the problems that turn out to matter is how a register becomes useless: you cannot know in advance which four-week slip is the one that compounds.</w:t>
      </w:r>
    </w:p>
    <w:p>
      <w:r>
        <w:t>Phase 1 delivered what the program needed: a safety profile that supported continued development and a pharmacokinetic profile that supported once-weekly dosing. Gate 3 carried GO (6-0).</w:t>
      </w:r>
    </w:p>
    <w:p>
      <w:pPr>
        <w:spacing w:before="320"/>
      </w:pPr>
      <w:r>
        <w:rPr>
          <w:b/>
          <w:color w:val="12304A"/>
          <w:sz w:val="28"/>
        </w:rPr>
        <w:t>5. Phase 2 — Testing the Thesis</w:t>
      </w:r>
    </w:p>
    <w:p>
      <w:r>
        <w:t>Phase 2 was where the differentiation thesis met evidence. 480 participants, 36 weeks, dose-ranging across a span deliberately wider than dose selection alone required.</w:t>
      </w:r>
    </w:p>
    <w:p>
      <w:r>
        <w:t>That width was a choice with a cost. A narrower span would have been cheaper and faster; the program carried the top dose into the study specifically so that if tolerability degraded, it would degrade inside Phase 2 where the finding was affordable, rather than inside Phase 3 where it would not be. This is the same reasoning that later appears in the Gate Framework's treatment of RECYCLE: pay for information at the cheapest gate that can produce it.</w:t>
      </w:r>
    </w:p>
    <w:p>
      <w:r>
        <w:t>CR-01 was approved mid-stage, adding an Asian-population cohort and increasing N by 50. The rationale was forward-looking rather than immediate — it supports a later Asia-Pacific and European strategy without requiring a separate bridging study, at a moment when adding 50 participants to a running study was far cheaper than standing one up later.</w:t>
      </w:r>
    </w:p>
    <w:p>
      <w:r>
        <w:t>The read-out supported the thesis. Efficacy was demonstrated at a dose with a discontinuation rate materially below the class benchmark. It was not a spectacular result on magnitude of weight reduction — the program has never claimed it would be — and that distinction is precisely the position the program has to defend.</w:t>
      </w:r>
    </w:p>
    <w:p>
      <w:pPr>
        <w:spacing w:before="320"/>
      </w:pPr>
      <w:r>
        <w:rPr>
          <w:b/>
          <w:color w:val="12304A"/>
          <w:sz w:val="28"/>
        </w:rPr>
        <w:t>6. The Meeting That Set the Program — May 2026</w:t>
      </w:r>
    </w:p>
    <w:p>
      <w:r>
        <w:t>The End-of-Phase-2 meeting of 19 May 2026 is the single most consequential interaction in this program, and it is worth understanding why a meeting outranks most of the gates.</w:t>
      </w:r>
    </w:p>
    <w:p>
      <w:r>
        <w:t>Three things were settled there. The pivotal design was agreed. The co-primary endpoints were fixed — percent change in body weight, and the proportion of participants achieving at least a five percent reduction. And the agency set out its expectation on cardiovascular safety for a chronic metabolic therapy in this class.</w:t>
      </w:r>
    </w:p>
    <w:p>
      <w:r>
        <w:t>That third item cost $7,200,000 and six months. CR-02 — a dedicated cardiovascular outcomes sub-study inside Phase 3 — was approved eight weeks later, funded from contingency against a named draw rather than absorbed into the Phase 3 estimate. The program could have argued the point, deferred the work, and taken its chances on a post-marketing requirement. It chose to carry the study, on the reasoning that a post-marketing commitment negotiated from a position of weakness during review is worse than a sub-study designed on the program's own terms.</w:t>
      </w:r>
    </w:p>
    <w:p>
      <w:pPr>
        <w:spacing w:before="120"/>
        <w:ind w:left="360"/>
      </w:pPr>
      <w:r>
        <w:rPr>
          <w:i/>
          <w:color w:val="12304A"/>
          <w:sz w:val="20"/>
        </w:rPr>
        <w:t>Gate 4 was scheduled after this meeting deliberately. Six weeks earlier, the same decision would have been taken without knowing the agency's position on pivotal design, endpoints or cardiovascular safety — which is to say it would have been taken blind on the three questions that determine whether $125,800,000 is well spent. This is the clearest instance in the program of the principle that a gate is placed where information arrives, not where a calendar is convenient.</w:t>
      </w:r>
    </w:p>
    <w:p>
      <w:pPr>
        <w:spacing w:before="320"/>
      </w:pPr>
      <w:r>
        <w:rPr>
          <w:b/>
          <w:color w:val="12304A"/>
          <w:sz w:val="28"/>
        </w:rPr>
        <w:t>7. Gate 4 — The Decision That Matters</w:t>
      </w:r>
    </w:p>
    <w:p>
      <w:r>
        <w:t>On 30 June 2026 the Development Committee authorized Phase 3 and released $125,800,000 — 58% of the entire base program behind a single decision taken at a single meeting.</w:t>
      </w:r>
    </w:p>
    <w:p>
      <w:r>
        <w:t>All four must-meet criteria were satisfied. Phase 2 had demonstrated efficacy at a tolerable dose; the agency meeting had been held and its outcomes recorded; the Phase 3 protocol was final and powered; the manufacturing plan supported registration-batch timing. Under the framework, scoring then proceeded.</w:t>
      </w:r>
    </w:p>
    <w:p>
      <w:r>
        <w:t>Two should-meet criteria scored at threshold. CMC analytical method transfer was incomplete — two of three methods re-qualified at the contract manufacturer, the third in progress. Market access evidence was scoped but not started: a plan existed, the payer advisory board program did not. Both were judged closeable inside Stage 4, which is what a threshold score means, and both produced conditions: GC-01 and GC-03.</w:t>
      </w:r>
    </w:p>
    <w:p>
      <w:r>
        <w:t>The outcome was GO WITH CONDITIONS (5-0-1). Four votes in favour, one abstention.</w:t>
      </w:r>
    </w:p>
    <w:p>
      <w:r>
        <w:t>The abstention was the Chief Financial Officer, recorded against the business case criterion — specifically that gross-to-net assumptions had not been re-tested against the current payer landscape. The refreshed model returned 43.6% against a 15.0% hurdle, comfortably clear, and the criterion scored 4 rather than 3. The CFO's position was that a $125,800,000 release warranted a fully re-tested commercial model rather than one with a stated minor gap.</w:t>
      </w:r>
    </w:p>
    <w:p>
      <w:pPr>
        <w:spacing w:before="120"/>
        <w:ind w:left="360"/>
      </w:pPr>
      <w:r>
        <w:rPr>
          <w:i/>
          <w:color w:val="12304A"/>
          <w:sz w:val="20"/>
        </w:rPr>
        <w:t>The abstention was not overruled, and it was right. It did not block the gate and was never going to. But it is on the permanent record with its reason attached, and it is why the business case refresh carries a standing item at Gate 5. Eighteen months later, with GC-03 at risk and payer coverage the live commercial question, the CFO's objection reads less like caution than like the one person in the room who was looking at the right thing.</w:t>
      </w:r>
    </w:p>
    <w:p>
      <w:pPr>
        <w:spacing w:before="320"/>
      </w:pPr>
      <w:r>
        <w:rPr>
          <w:b/>
          <w:color w:val="12304A"/>
          <w:sz w:val="28"/>
        </w:rPr>
        <w:t>8. Where the Program Stands — 15 October 2026</w:t>
      </w:r>
    </w:p>
    <w:p>
      <w:r>
        <w:t>Phase 3 is running. Both pivotal trials are enrolling — 2,480 participants across the two, the cardiovascular sub-study is underway, and the program is roughly 13% through the Stage 4 calendar with 21% of the tranche consumed. Spend behind calendar is expected on a clinical program — Phase 3 cost is back-loaded, and the meaningful comparison is against the enrolment curve rather than against elapsed time.</w:t>
      </w:r>
    </w:p>
    <w:p>
      <w:r>
        <w:t>Three things are open.</w:t>
      </w:r>
    </w:p>
    <w:p>
      <w:r>
        <w:t>I-02 — the analytical method transfer. Method transfer to Aldergate Biologics failed first-pass acceptance on two of three methods. A CMC team is embedded on site, two methods are now re-qualified, and $1,850,000 has been drawn from contingency. GC-01 requires all three complete by 18 December 2026 and is on track.</w:t>
      </w:r>
    </w:p>
    <w:p>
      <w:r>
        <w:t>GC-03 — the payer evidence plan — is at risk. Two of five target advisory boards remain unscheduled against a 31 March 2027 due date. The condition's verification method, fixed when it was issued and not renegotiable, requires the boards to have been held, not scheduled. This is the program's most exposed position and it is reported as such on the suite index rather than buried.</w:t>
      </w:r>
    </w:p>
    <w:p>
      <w:r>
        <w:t>I-03 — two Phase 3 sites failed activation on IRB timelines. Replacements were drawn from the reserve list with no change to the enrolment curve. Minor, and recorded.</w:t>
      </w:r>
    </w:p>
    <w:p>
      <w:pPr>
        <w:spacing w:before="320"/>
      </w:pPr>
      <w:r>
        <w:rPr>
          <w:b/>
          <w:color w:val="12304A"/>
          <w:sz w:val="28"/>
        </w:rPr>
        <w:t>9. What the Program Got Wrong</w:t>
      </w:r>
    </w:p>
    <w:p>
      <w:r>
        <w:t>A program story that records only good decisions is marketing. Three things are worth stating plainly.</w:t>
      </w:r>
    </w:p>
    <w:p>
      <w:pPr>
        <w:spacing w:before="200"/>
      </w:pPr>
      <w:r>
        <w:rPr>
          <w:b/>
          <w:color w:val="2B5F8E"/>
          <w:sz w:val="23"/>
        </w:rPr>
        <w:t>The method transfer was not on any risk register</w:t>
      </w:r>
    </w:p>
    <w:p>
      <w:r>
        <w:t>I-02 appeared as an issue without ever having been a risk. Analytical method transfer to a contract manufacturer was treated as routine technical work — execution, not exposure. It failed, cost $1,850,000, and produced a gate condition that remains open.</w:t>
      </w:r>
    </w:p>
    <w:p>
      <w:r>
        <w:t>This is a recurring blind spot rather than bad luck. Technical transfer between organizations is where programs lose time, and it is systematically under-registered because it looks like something a competent team simply does. The signal was available at Gate 1, where analytical method qualification scored at threshold — the program noted it, satisfied itself, and did not carry it forward as a risk. It has been recorded in the RAID log as a miss rather than retrospectively tidied into a risk that was foreseen.</w:t>
      </w:r>
    </w:p>
    <w:p>
      <w:pPr>
        <w:spacing w:before="200"/>
      </w:pPr>
      <w:r>
        <w:rPr>
          <w:b/>
          <w:color w:val="2B5F8E"/>
          <w:sz w:val="23"/>
        </w:rPr>
        <w:t>Market access was scoped late</w:t>
      </w:r>
    </w:p>
    <w:p>
      <w:r>
        <w:t>GC-03 exists because the payer evidence plan was still a plan at Gate 4, three years into a program whose commercial case depends materially on coverage. The health-economic evidence that supports a payer conversation is generated alongside a Phase 3, not after it, which means the work needed to start when Phase 3 started. It did not, and the condition is now the program's weakest position.</w:t>
      </w:r>
    </w:p>
    <w:p>
      <w:pPr>
        <w:spacing w:before="200"/>
      </w:pPr>
      <w:r>
        <w:rPr>
          <w:b/>
          <w:color w:val="2B5F8E"/>
          <w:sz w:val="23"/>
        </w:rPr>
        <w:t>The commercial model was carried on stale assumptions</w:t>
      </w:r>
    </w:p>
    <w:p>
      <w:r>
        <w:t>The CFO said so at Gate 4 and abstained. The criterion still scored 4, the gate still carried, and eighteen months on the objection looks better than the score did.</w:t>
      </w:r>
    </w:p>
    <w:p>
      <w:pPr>
        <w:spacing w:before="120"/>
        <w:ind w:left="360"/>
      </w:pPr>
      <w:r>
        <w:rPr>
          <w:i/>
          <w:color w:val="12304A"/>
          <w:sz w:val="20"/>
        </w:rPr>
        <w:t>What these three have in common. None of them is a clinical failure. The molecule has done what was asked of it at every stage. All three failures are in the supporting disciplines — manufacturing transfer, market access, commercial modeling — and all three follow the same pattern: work that was visible, unglamorous, and easy to defer in favour of the clinical critical path. That is the characteristic failure mode of development programs, and knowing it in advance is most of the defense against it.</w:t>
      </w:r>
    </w:p>
    <w:p>
      <w:pPr>
        <w:spacing w:before="320"/>
      </w:pPr>
      <w:r>
        <w:rPr>
          <w:b/>
          <w:color w:val="12304A"/>
          <w:sz w:val="28"/>
        </w:rPr>
        <w:t>10. What Happens Next</w:t>
      </w:r>
    </w:p>
    <w:p>
      <w:r>
        <w:t>Two gates remain and neither outcome is known.</w:t>
      </w:r>
    </w:p>
    <w:p>
      <w:r>
        <w:t>Gate 5, 30 September 2028 — NDA submission. Four must-meet criteria: both pivotals meeting their co-primary endpoints, a complete integrated safety database, registration batches manufactured and on stability with process validation complete, and the Pre-NDA meeting held. The clinical criterion is the one that cannot be managed — either the trials read out or they do not. The manufacturing criterion is the one most likely to move the date, because registration batches gate a submission independently of whether the data are ready.</w:t>
      </w:r>
    </w:p>
    <w:p>
      <w:r>
        <w:t>Gate 6, 11 October 2029 — approval and launch. Approval granted, pre-approval inspection closed, launch supply released. First commercial shipment 01 November 2029.</w:t>
      </w:r>
    </w:p>
    <w:p>
      <w:r>
        <w:t>The plan assumes a standard ten-month review with no expedited designation (A-02) and no advisory committee (A-03). Both assumptions are conservative in the direction that creates slack rather than a gap: an expedited review would pull revenue forward, while an advisory committee would add cost and time the budget does not carry.</w:t>
      </w:r>
    </w:p>
    <w:p>
      <w:r>
        <w:t>$15,800,000 remains unreleased. $16,990,000 of contingency remains against one pivotal read-out, one filing and one inspection.</w:t>
      </w:r>
    </w:p>
    <w:p>
      <w:pPr>
        <w:spacing w:before="320"/>
      </w:pPr>
      <w:r>
        <w:rPr>
          <w:b/>
          <w:color w:val="12304A"/>
          <w:sz w:val="28"/>
        </w:rPr>
        <w:t>11. What a Reader Should Take From This</w:t>
      </w:r>
    </w:p>
    <w:p>
      <w:r>
        <w:t>The governance mechanics in this suite are not ceremony. Each one exists because a specific failure is common enough to design against.</w:t>
      </w:r>
    </w:p>
    <w:p>
      <w:pPr>
        <w:pStyle w:val="ListBullet"/>
      </w:pPr>
      <w:r>
        <w:t>Funding released one stage at a time, because a program that holds its full budget on day one has no moment at which anyone is obliged to ask whether it should continue.</w:t>
      </w:r>
    </w:p>
    <w:p>
      <w:pPr>
        <w:pStyle w:val="ListBullet"/>
      </w:pPr>
      <w:r>
        <w:t>Gates placed where information arrives, because a gate scheduled for calendar convenience is a decision taken blind.</w:t>
      </w:r>
    </w:p>
    <w:p>
      <w:pPr>
        <w:pStyle w:val="ListBullet"/>
      </w:pPr>
      <w:r>
        <w:t>Conditions with verification methods fixed at issue, because a standard that can be softened when it comes due is not a standard.</w:t>
      </w:r>
    </w:p>
    <w:p>
      <w:pPr>
        <w:pStyle w:val="ListBullet"/>
      </w:pPr>
      <w:r>
        <w:t>Must-meet criteria that cannot be outvoted, because otherwise a strong commercial case will eventually be weighed against a specific unmet safety obligation, and will win.</w:t>
      </w:r>
    </w:p>
    <w:p>
      <w:pPr>
        <w:pStyle w:val="ListBullet"/>
      </w:pPr>
      <w:r>
        <w:t>An outcome derived from scores rather than negotiated, because judgment belongs in the assessment of evidence, not in the step from evidence to decision.</w:t>
      </w:r>
    </w:p>
    <w:p>
      <w:pPr>
        <w:pStyle w:val="ListBullet"/>
      </w:pPr>
      <w:r>
        <w:t>A defined RECYCLE outcome, because a committee with only “pass” and “kill” available will pass.</w:t>
      </w:r>
    </w:p>
    <w:p>
      <w:pPr>
        <w:pStyle w:val="ListBullet"/>
      </w:pPr>
      <w:r>
        <w:t>Authority boundaries named in advance, because a committee under schedule pressure will otherwise eventually vote on a safety question it has no business deciding.</w:t>
      </w:r>
    </w:p>
    <w:p>
      <w:r>
        <w:t>And one that is easy to miss: this program may well fail. The probability of approval from first-in-human was around 7%, and even at Phase 3 the conditional probability is 50%. A governance system that treats termination as a career event will not receive honest evidence at gates, and will therefore terminate late and expensively rather than early and cheaply. The Committee Charter says so explicitly, because it needs to be written down before the pressure arrives rather than discovered during it.</w:t>
      </w:r>
    </w:p>
    <w:p>
      <w:pPr>
        <w:spacing w:before="120"/>
        <w:ind w:left="360"/>
      </w:pPr>
      <w:r>
        <w:rPr>
          <w:i/>
          <w:color w:val="12304A"/>
          <w:sz w:val="20"/>
        </w:rPr>
        <w:t>The suite is a live build. The artifact registry lists all 70 documents a program of this kind requires, with the status of each. Some are published; most are not. Listing only what exists would tell a reader nothing about what the methodology actually demands.</w:t>
      </w:r>
    </w:p>
    <w:p>
      <w:pPr>
        <w:spacing w:before="320"/>
      </w:pPr>
      <w:r>
        <w:rPr>
          <w:b/>
          <w:color w:val="12304A"/>
          <w:sz w:val="28"/>
        </w:rPr>
        <w:t>12. Reading Forward — the Rest of the Story Exists</w:t>
      </w:r>
    </w:p>
    <w:p>
      <w:r>
        <w:t>Everything above this line was written as at 15 October 2026, and stops there deliberately. Section 10 forecasts. It does not know.</w:t>
      </w:r>
    </w:p>
    <w:p>
      <w:pPr>
        <w:spacing w:before="120"/>
        <w:ind w:left="360"/>
      </w:pPr>
      <w:r>
        <w:rPr>
          <w:i/>
          <w:color w:val="12304A"/>
          <w:sz w:val="20"/>
        </w:rPr>
        <w:t>The suite now also contains the end of the story, and those artifacts are deliberately not reconciled against this one.</w:t>
      </w:r>
    </w:p>
    <w:p>
      <w:pPr>
        <w:spacing w:before="120"/>
        <w:ind w:left="360"/>
      </w:pPr>
      <w:r>
        <w:rPr>
          <w:i/>
          <w:color w:val="12304A"/>
          <w:sz w:val="20"/>
        </w:rPr>
        <w:t>Eight forward-dated documents record what happened: the Gate 5 and Gate 6 decisions, the NDA submission, the FDA review, the launch, the post-launch review, benefits realization, and the closure report.</w:t>
      </w:r>
    </w:p>
    <w:p>
      <w:pPr>
        <w:spacing w:before="120"/>
        <w:ind w:left="360"/>
      </w:pPr>
      <w:r>
        <w:rPr>
          <w:i/>
          <w:color w:val="12304A"/>
          <w:sz w:val="20"/>
        </w:rPr>
        <w:t>They carry an explicit forward-dated banner. They are a different horizon, not a later draft of this one.</w:t>
      </w:r>
    </w:p>
    <w:p>
      <w:pPr>
        <w:spacing w:before="200"/>
      </w:pPr>
      <w:r>
        <w:rPr>
          <w:b/>
          <w:color w:val="2B5F8E"/>
          <w:sz w:val="23"/>
        </w:rPr>
        <w:t>Why this section does not simply update the story</w:t>
      </w:r>
    </w:p>
    <w:p>
      <w:r>
        <w:t>Retro-fitting later knowledge into an earlier narrative destroys the only thing that made the earlier narrative worth reading. A status report that quietly knows how things turned out is not a status report — it is a memoir, and every judgment in it looks better than it was.</w:t>
      </w:r>
    </w:p>
    <w:p>
      <w:r>
        <w:t>So sections 1 through 11 stay exactly as they were written at the status date, with their forecasts intact and, in places, wrong.</w:t>
      </w:r>
    </w:p>
    <w:p>
      <w:pPr>
        <w:spacing w:before="120"/>
        <w:ind w:left="360"/>
      </w:pPr>
      <w:r>
        <w:rPr>
          <w:i/>
          <w:color w:val="12304A"/>
          <w:sz w:val="20"/>
        </w:rPr>
        <w:t>Which makes section 10 the most useful part of this document, because it can now be marked.</w:t>
      </w:r>
    </w:p>
    <w:p>
      <w:pPr>
        <w:spacing w:before="120"/>
        <w:ind w:left="360"/>
      </w:pPr>
      <w:r>
        <w:rPr>
          <w:i/>
          <w:color w:val="12304A"/>
          <w:sz w:val="20"/>
        </w:rPr>
        <w:t>It forecast an NDA submission, an approval, and a launch. It got the shape right and the timing broadly right. What it did not anticipate — what nobody at the status date anticipated — was that the program would clear every regulatory hurdle it worried about and miss its commercial case anyway.</w:t>
      </w:r>
    </w:p>
    <w:p>
      <w:pPr>
        <w:spacing w:before="120"/>
        <w:ind w:left="360"/>
      </w:pPr>
      <w:r>
        <w:rPr>
          <w:i/>
          <w:color w:val="12304A"/>
          <w:sz w:val="20"/>
        </w:rPr>
        <w:t>The Post-Launch Review scores that gap directly. Read section 10, then read it, and the distance between them is the actual lesson of this suite.</w:t>
      </w:r>
    </w:p>
    <w:p>
      <w:r>
        <w:t>A reader who wants the whole arc in one place should start with the Program Closure Report, which speaks from June 2030 and knows everything this document does not.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