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REGULATORY AFFAIRS · VITALIS THERAPEUTICS INC.</w:t>
      </w:r>
    </w:p>
    <w:p>
      <w:r>
        <w:rPr>
          <w:b/>
          <w:color w:val="12304A"/>
          <w:sz w:val="44"/>
        </w:rPr>
        <w:t>Regulatory Strategy</w:t>
      </w:r>
    </w:p>
    <w:p>
      <w:r>
        <w:rPr>
          <w:i/>
          <w:color w:val="6B7280"/>
          <w:sz w:val="17"/>
        </w:rPr>
        <w:t>Vitalis Therapeutics Inc. · VitaFlow (VTX-401) · Regulatory Strategy · status 15 October 2026. Fictional program; the regulatory framework described is real.</w:t>
      </w:r>
    </w:p>
    <w:p/>
    <w:p>
      <w:r>
        <w:t>Vitalis Therapeutics Inc. — Regulatory strategy for VitaFlow (VTX-401): the 505(b)(1) pathway, six expedited programs assessed and none pursued, the PREA pediatric obligation and why it can block a filing, exclusivity and patent-life arithmetic, agency interaction, and the deferred EU decision.</w:t>
      </w:r>
    </w:p>
    <w:p>
      <w:pPr>
        <w:spacing w:before="320"/>
      </w:pPr>
      <w:r>
        <w:rPr>
          <w:b/>
          <w:color w:val="12304A"/>
          <w:sz w:val="28"/>
        </w:rPr>
        <w:t>1. The Application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Element</w:t>
            </w:r>
          </w:p>
        </w:tc>
        <w:tc>
          <w:tcPr>
            <w:tcW w:type="dxa" w:w="3216"/>
          </w:tcPr>
          <w:p>
            <w:r>
              <w:rPr>
                <w:b/>
                <w:sz w:val="17"/>
              </w:rPr>
              <w:t>Position</w:t>
            </w:r>
          </w:p>
        </w:tc>
        <w:tc>
          <w:tcPr>
            <w:tcW w:type="dxa" w:w="3216"/>
          </w:tcPr>
          <w:p>
            <w:r>
              <w:rPr>
                <w:b/>
                <w:sz w:val="17"/>
              </w:rPr>
              <w:t>Note</w:t>
            </w:r>
          </w:p>
        </w:tc>
      </w:tr>
      <w:tr>
        <w:tc>
          <w:tcPr>
            <w:tcW w:type="dxa" w:w="3216"/>
          </w:tcPr>
          <w:p>
            <w:r>
              <w:rPr>
                <w:sz w:val="17"/>
              </w:rPr>
              <w:t>Application type</w:t>
            </w:r>
          </w:p>
        </w:tc>
        <w:tc>
          <w:tcPr>
            <w:tcW w:type="dxa" w:w="3216"/>
          </w:tcPr>
          <w:p>
            <w:r>
              <w:rPr>
                <w:sz w:val="17"/>
              </w:rPr>
              <w:t>505(b)(1) New Drug Application</w:t>
            </w:r>
          </w:p>
        </w:tc>
        <w:tc>
          <w:tcPr>
            <w:tcW w:type="dxa" w:w="3216"/>
          </w:tcPr>
          <w:p>
            <w:r>
              <w:rPr>
                <w:sz w:val="17"/>
              </w:rPr>
              <w:t>A full application. All safety and effectiveness data generated by or for the sponsor, with no reliance on findings for a previously approved product.</w:t>
            </w:r>
          </w:p>
        </w:tc>
      </w:tr>
      <w:tr>
        <w:tc>
          <w:tcPr>
            <w:tcW w:type="dxa" w:w="3216"/>
          </w:tcPr>
          <w:p>
            <w:r>
              <w:rPr>
                <w:sz w:val="17"/>
              </w:rPr>
              <w:t>Why not 505(b)(2)</w:t>
            </w:r>
          </w:p>
        </w:tc>
        <w:tc>
          <w:tcPr>
            <w:tcW w:type="dxa" w:w="3216"/>
          </w:tcPr>
          <w:p>
            <w:r>
              <w:rPr>
                <w:sz w:val="17"/>
              </w:rPr>
              <w:t>Not available</w:t>
            </w:r>
          </w:p>
        </w:tc>
        <w:tc>
          <w:tcPr>
            <w:tcW w:type="dxa" w:w="3216"/>
          </w:tcPr>
          <w:p>
            <w:r>
              <w:rPr>
                <w:sz w:val="17"/>
              </w:rPr>
              <w:t>505(b)(2) permits reliance on published literature or a listed drug. VitaFlow is a new molecular entity with no listed drug to reference — the pathway is not a choice here.</w:t>
            </w:r>
          </w:p>
        </w:tc>
      </w:tr>
      <w:tr>
        <w:tc>
          <w:tcPr>
            <w:tcW w:type="dxa" w:w="3216"/>
          </w:tcPr>
          <w:p>
            <w:r>
              <w:rPr>
                <w:sz w:val="17"/>
              </w:rPr>
              <w:t>Review division</w:t>
            </w:r>
          </w:p>
        </w:tc>
        <w:tc>
          <w:tcPr>
            <w:tcW w:type="dxa" w:w="3216"/>
          </w:tcPr>
          <w:p>
            <w:r>
              <w:rPr>
                <w:sz w:val="17"/>
              </w:rPr>
              <w:t>CDER, Division of Diabetes, Lipid Disorders and Obesity</w:t>
            </w:r>
          </w:p>
        </w:tc>
        <w:tc>
          <w:tcPr>
            <w:tcW w:type="dxa" w:w="3216"/>
          </w:tcPr>
          <w:p>
            <w:r>
              <w:rPr>
                <w:sz w:val="17"/>
              </w:rPr>
            </w:r>
          </w:p>
        </w:tc>
      </w:tr>
      <w:tr>
        <w:tc>
          <w:tcPr>
            <w:tcW w:type="dxa" w:w="3216"/>
          </w:tcPr>
          <w:p>
            <w:r>
              <w:rPr>
                <w:sz w:val="17"/>
              </w:rPr>
              <w:t>Submission format</w:t>
            </w:r>
          </w:p>
        </w:tc>
        <w:tc>
          <w:tcPr>
            <w:tcW w:type="dxa" w:w="3216"/>
          </w:tcPr>
          <w:p>
            <w:r>
              <w:rPr>
                <w:sz w:val="17"/>
              </w:rPr>
              <w:t>eCTD, five modules</w:t>
            </w:r>
          </w:p>
        </w:tc>
        <w:tc>
          <w:tcPr>
            <w:tcW w:type="dxa" w:w="3216"/>
          </w:tcPr>
          <w:p>
            <w:r>
              <w:rPr>
                <w:sz w:val="17"/>
              </w:rPr>
              <w:t>Module 1 administrative and labeling · 2 summaries · 3 quality (CMC) · 4 nonclinical · 5 clinical.</w:t>
            </w:r>
          </w:p>
        </w:tc>
      </w:tr>
      <w:tr>
        <w:tc>
          <w:tcPr>
            <w:tcW w:type="dxa" w:w="3216"/>
          </w:tcPr>
          <w:p>
            <w:r>
              <w:rPr>
                <w:sz w:val="17"/>
              </w:rPr>
              <w:t>Review clock</w:t>
            </w:r>
          </w:p>
        </w:tc>
        <w:tc>
          <w:tcPr>
            <w:tcW w:type="dxa" w:w="3216"/>
          </w:tcPr>
          <w:p>
            <w:r>
              <w:rPr>
                <w:sz w:val="17"/>
              </w:rPr>
              <w:t>10 months from the 60-day filing date</w:t>
            </w:r>
          </w:p>
        </w:tc>
        <w:tc>
          <w:tcPr>
            <w:tcW w:type="dxa" w:w="3216"/>
          </w:tcPr>
          <w:p>
            <w:r>
              <w:rPr>
                <w:sz w:val="17"/>
              </w:rPr>
              <w:t>Twelve months from submission in total. For an NME the clock runs from the filing date, not from receipt — a distinction that moves an action date by two months.</w:t>
            </w:r>
          </w:p>
        </w:tc>
      </w:tr>
    </w:tbl>
    <w:p/>
    <w:p>
      <w:pPr>
        <w:spacing w:before="120"/>
        <w:ind w:left="360"/>
      </w:pPr>
      <w:r>
        <w:rPr>
          <w:i/>
          <w:color w:val="12304A"/>
          <w:sz w:val="20"/>
        </w:rPr>
        <w:t>The review clock starts at filing acceptance, not at submission. FDA takes 60 days to decide whether an application is complete enough to review at all. Only then does the 10-month clock begin, and the PDUFA action date derives from that acceptance.</w:t>
      </w:r>
    </w:p>
    <w:p>
      <w:pPr>
        <w:spacing w:before="120"/>
        <w:ind w:left="360"/>
      </w:pPr>
      <w:r>
        <w:rPr>
          <w:i/>
          <w:color w:val="12304A"/>
          <w:sz w:val="20"/>
        </w:rPr>
        <w:t>So the 11 October 2029 action date in the Program Charter is not "ten months after we file". It is ten months after the agency agrees the application is reviewable — and a refuse-to-file decision does not restart the clock, it removes it.</w:t>
      </w:r>
    </w:p>
    <w:p>
      <w:pPr>
        <w:spacing w:before="320"/>
      </w:pPr>
      <w:r>
        <w:rPr>
          <w:b/>
          <w:color w:val="12304A"/>
          <w:sz w:val="28"/>
        </w:rPr>
        <w:t>2. Expedited Programs — Six Assessed, None Pursued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Program</w:t>
            </w:r>
          </w:p>
        </w:tc>
        <w:tc>
          <w:tcPr>
            <w:tcW w:type="dxa" w:w="3216"/>
          </w:tcPr>
          <w:p>
            <w:r>
              <w:rPr>
                <w:b/>
                <w:sz w:val="17"/>
              </w:rPr>
              <w:t>Position</w:t>
            </w:r>
          </w:p>
        </w:tc>
        <w:tc>
          <w:tcPr>
            <w:tcW w:type="dxa" w:w="3216"/>
          </w:tcPr>
          <w:p>
            <w:r>
              <w:rPr>
                <w:b/>
                <w:sz w:val="17"/>
              </w:rPr>
              <w:t>Reasoning</w:t>
            </w:r>
          </w:p>
        </w:tc>
      </w:tr>
      <w:tr>
        <w:tc>
          <w:tcPr>
            <w:tcW w:type="dxa" w:w="3216"/>
          </w:tcPr>
          <w:p>
            <w:r>
              <w:rPr>
                <w:sz w:val="17"/>
              </w:rPr>
              <w:t>Fast Track</w:t>
            </w:r>
          </w:p>
        </w:tc>
        <w:tc>
          <w:tcPr>
            <w:tcW w:type="dxa" w:w="3216"/>
          </w:tcPr>
          <w:p>
            <w:r>
              <w:rPr>
                <w:sz w:val="17"/>
              </w:rPr>
              <w:t>Not pursued</w:t>
            </w:r>
          </w:p>
        </w:tc>
        <w:tc>
          <w:tcPr>
            <w:tcW w:type="dxa" w:w="3216"/>
          </w:tcPr>
          <w:p>
            <w:r>
              <w:rPr>
                <w:sz w:val="17"/>
              </w:rPr>
              <w:t>Requires a serious condition and unmet medical need. Obesity qualifies as serious; unmet need is not arguable when multiple GLP-1 therapies are already approved for the same indication.</w:t>
            </w:r>
          </w:p>
        </w:tc>
      </w:tr>
      <w:tr>
        <w:tc>
          <w:tcPr>
            <w:tcW w:type="dxa" w:w="3216"/>
          </w:tcPr>
          <w:p>
            <w:r>
              <w:rPr>
                <w:sz w:val="17"/>
              </w:rPr>
              <w:t>Breakthrough Therapy</w:t>
            </w:r>
          </w:p>
        </w:tc>
        <w:tc>
          <w:tcPr>
            <w:tcW w:type="dxa" w:w="3216"/>
          </w:tcPr>
          <w:p>
            <w:r>
              <w:rPr>
                <w:sz w:val="17"/>
              </w:rPr>
              <w:t>Not pursued</w:t>
            </w:r>
          </w:p>
        </w:tc>
        <w:tc>
          <w:tcPr>
            <w:tcW w:type="dxa" w:w="3216"/>
          </w:tcPr>
          <w:p>
            <w:r>
              <w:rPr>
                <w:sz w:val="17"/>
              </w:rPr>
              <w:t>Requires preliminary clinical evidence of substantial improvement over available therapy on a clinically significant endpoint. Phase 2 tolerability separation was real but not substantial, and the program declined to argue otherwise.</w:t>
            </w:r>
          </w:p>
        </w:tc>
      </w:tr>
      <w:tr>
        <w:tc>
          <w:tcPr>
            <w:tcW w:type="dxa" w:w="3216"/>
          </w:tcPr>
          <w:p>
            <w:r>
              <w:rPr>
                <w:sz w:val="17"/>
              </w:rPr>
              <w:t>Accelerated Approval</w:t>
            </w:r>
          </w:p>
        </w:tc>
        <w:tc>
          <w:tcPr>
            <w:tcW w:type="dxa" w:w="3216"/>
          </w:tcPr>
          <w:p>
            <w:r>
              <w:rPr>
                <w:sz w:val="17"/>
              </w:rPr>
              <w:t>Not applicable</w:t>
            </w:r>
          </w:p>
        </w:tc>
        <w:tc>
          <w:tcPr>
            <w:tcW w:type="dxa" w:w="3216"/>
          </w:tcPr>
          <w:p>
            <w:r>
              <w:rPr>
                <w:sz w:val="17"/>
              </w:rPr>
              <w:t>Applies where a surrogate endpoint is reasonably likely to predict clinical benefit. Percent weight reduction is the accepted endpoint in this indication, not a surrogate for one.</w:t>
            </w:r>
          </w:p>
        </w:tc>
      </w:tr>
      <w:tr>
        <w:tc>
          <w:tcPr>
            <w:tcW w:type="dxa" w:w="3216"/>
          </w:tcPr>
          <w:p>
            <w:r>
              <w:rPr>
                <w:sz w:val="17"/>
              </w:rPr>
              <w:t>Priority Review</w:t>
            </w:r>
          </w:p>
        </w:tc>
        <w:tc>
          <w:tcPr>
            <w:tcW w:type="dxa" w:w="3216"/>
          </w:tcPr>
          <w:p>
            <w:r>
              <w:rPr>
                <w:sz w:val="17"/>
              </w:rPr>
              <w:t>Assessed at filing</w:t>
            </w:r>
          </w:p>
        </w:tc>
        <w:tc>
          <w:tcPr>
            <w:tcW w:type="dxa" w:w="3216"/>
          </w:tcPr>
          <w:p>
            <w:r>
              <w:rPr>
                <w:sz w:val="17"/>
              </w:rPr>
              <w:t>Not a designation the sponsor elects. Granted where an application would significantly improve safety or effectiveness. The program plans on standard review and would treat priority as upside.</w:t>
            </w:r>
          </w:p>
        </w:tc>
      </w:tr>
      <w:tr>
        <w:tc>
          <w:tcPr>
            <w:tcW w:type="dxa" w:w="3216"/>
          </w:tcPr>
          <w:p>
            <w:r>
              <w:rPr>
                <w:sz w:val="17"/>
              </w:rPr>
              <w:t>Orphan Drug</w:t>
            </w:r>
          </w:p>
        </w:tc>
        <w:tc>
          <w:tcPr>
            <w:tcW w:type="dxa" w:w="3216"/>
          </w:tcPr>
          <w:p>
            <w:r>
              <w:rPr>
                <w:sz w:val="17"/>
              </w:rPr>
              <w:t>Not applicable</w:t>
            </w:r>
          </w:p>
        </w:tc>
        <w:tc>
          <w:tcPr>
            <w:tcW w:type="dxa" w:w="3216"/>
          </w:tcPr>
          <w:p>
            <w:r>
              <w:rPr>
                <w:sz w:val="17"/>
              </w:rPr>
              <w:t>The eligible population is 41,000,000 people.</w:t>
            </w:r>
          </w:p>
        </w:tc>
      </w:tr>
      <w:tr>
        <w:tc>
          <w:tcPr>
            <w:tcW w:type="dxa" w:w="3216"/>
          </w:tcPr>
          <w:p>
            <w:r>
              <w:rPr>
                <w:sz w:val="17"/>
              </w:rPr>
              <w:t>Rare Pediatric Disease PRV</w:t>
            </w:r>
          </w:p>
        </w:tc>
        <w:tc>
          <w:tcPr>
            <w:tcW w:type="dxa" w:w="3216"/>
          </w:tcPr>
          <w:p>
            <w:r>
              <w:rPr>
                <w:sz w:val="17"/>
              </w:rPr>
              <w:t>Not applicable</w:t>
            </w:r>
          </w:p>
        </w:tc>
        <w:tc>
          <w:tcPr>
            <w:tcW w:type="dxa" w:w="3216"/>
          </w:tcPr>
          <w:p>
            <w:r>
              <w:rPr>
                <w:sz w:val="17"/>
              </w:rPr>
              <w:t>Not a rare pediatric disease.</w:t>
            </w:r>
          </w:p>
        </w:tc>
      </w:tr>
    </w:tbl>
    <w:p/>
    <w:p>
      <w:pPr>
        <w:spacing w:before="120"/>
        <w:ind w:left="360"/>
      </w:pPr>
      <w:r>
        <w:rPr>
          <w:i/>
          <w:color w:val="12304A"/>
          <w:sz w:val="20"/>
        </w:rPr>
        <w:t>This table is the most useful thing in the document, and its value is entirely in the negatives.</w:t>
      </w:r>
    </w:p>
    <w:p>
      <w:pPr>
        <w:spacing w:before="120"/>
        <w:ind w:left="360"/>
      </w:pPr>
      <w:r>
        <w:rPr>
          <w:i/>
          <w:color w:val="12304A"/>
          <w:sz w:val="20"/>
        </w:rPr>
        <w:t>Expedited designations are attractive: they shorten timelines, signal quality to investors, and cost little to apply for. The temptation for any program is to apply broadly and see what lands. That temptation should be resisted, for a reason that has nothing to do with modesty.</w:t>
      </w:r>
    </w:p>
    <w:p>
      <w:pPr>
        <w:spacing w:before="120"/>
        <w:ind w:left="360"/>
      </w:pPr>
      <w:r>
        <w:rPr>
          <w:i/>
          <w:color w:val="12304A"/>
          <w:sz w:val="20"/>
        </w:rPr>
        <w:t>A designation request is a written argument to the agency about your own product. Requesting Breakthrough Therapy means asserting that preliminary evidence shows substantial improvement over available therapy. If the agency disagrees — and on a Phase 2 tolerability separation of Escalation extended to 20 weeks after Phase 2 — the target was traded for tolerability. Approved products in the class escalate over 16 to 20 weeks. against a crowded class it likely would — the program has put a claim on the record that its own pivotal data may then fail to support. That conversation is not free.</w:t>
      </w:r>
    </w:p>
    <w:p>
      <w:r>
        <w:t>The honest position at Gate 4 was that VitaFlow is a later entrant into a class with approved alternatives, differentiated on tolerability by a margin that Phase 2 suggested but did not establish. That position does not support Fast Track or Breakthrough, and the program said so rather than testing it.</w:t>
      </w:r>
    </w:p>
    <w:p>
      <w:r>
        <w:t>Priority Review remains genuinely possible, because it is not something a sponsor elects. It is assessed at filing on whether the application would significantly improve safety or effectiveness. The program plans on a standard ten-month review and treats priority as upside — a schedule built on an expedited review that does not arrive is a schedule that fails.</w:t>
      </w:r>
    </w:p>
    <w:p>
      <w:pPr>
        <w:spacing w:before="320"/>
      </w:pPr>
      <w:r>
        <w:rPr>
          <w:b/>
          <w:color w:val="12304A"/>
          <w:sz w:val="28"/>
        </w:rPr>
        <w:t>3. The Pediatric Obligation</w:t>
      </w:r>
    </w:p>
    <w:p>
      <w:r>
        <w:t>PREA — Pediatric Research Equity Act attaches automatically. Required for any NDA with a new active ingredient, indication, dosage form, regimen or route of administration.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Element</w:t>
            </w:r>
          </w:p>
        </w:tc>
        <w:tc>
          <w:tcPr>
            <w:tcW w:type="dxa" w:w="4824"/>
          </w:tcPr>
          <w:p>
            <w:r>
              <w:rPr>
                <w:b/>
                <w:sz w:val="17"/>
              </w:rPr>
              <w:t>Position</w:t>
            </w:r>
          </w:p>
        </w:tc>
      </w:tr>
      <w:tr>
        <w:tc>
          <w:tcPr>
            <w:tcW w:type="dxa" w:w="4824"/>
          </w:tcPr>
          <w:p>
            <w:r>
              <w:rPr>
                <w:sz w:val="17"/>
              </w:rPr>
              <w:t>End-of-Phase-2 meeting</w:t>
            </w:r>
          </w:p>
        </w:tc>
        <w:tc>
          <w:tcPr>
            <w:tcW w:type="dxa" w:w="4824"/>
          </w:tcPr>
          <w:p>
            <w:r>
              <w:rPr>
                <w:sz w:val="17"/>
              </w:rPr>
              <w:t>2026-05-19</w:t>
            </w:r>
          </w:p>
        </w:tc>
      </w:tr>
      <w:tr>
        <w:tc>
          <w:tcPr>
            <w:tcW w:type="dxa" w:w="4824"/>
          </w:tcPr>
          <w:p>
            <w:r>
              <w:rPr>
                <w:sz w:val="17"/>
              </w:rPr>
              <w:t>iPSP due</w:t>
            </w:r>
          </w:p>
        </w:tc>
        <w:tc>
          <w:tcPr>
            <w:tcW w:type="dxa" w:w="4824"/>
          </w:tcPr>
          <w:p>
            <w:r>
              <w:rPr>
                <w:sz w:val="17"/>
              </w:rPr>
              <w:t>No later than 60 calendar days after the End-of-Phase-2 meeting</w:t>
            </w:r>
          </w:p>
        </w:tc>
      </w:tr>
      <w:tr>
        <w:tc>
          <w:tcPr>
            <w:tcW w:type="dxa" w:w="4824"/>
          </w:tcPr>
          <w:p>
            <w:r>
              <w:rPr>
                <w:sz w:val="17"/>
              </w:rPr>
              <w:t>iPSP submitted</w:t>
            </w:r>
          </w:p>
        </w:tc>
        <w:tc>
          <w:tcPr>
            <w:tcW w:type="dxa" w:w="4824"/>
          </w:tcPr>
          <w:p>
            <w:r>
              <w:rPr>
                <w:sz w:val="17"/>
              </w:rPr>
              <w:t>2026-07-10</w:t>
            </w:r>
          </w:p>
        </w:tc>
      </w:tr>
      <w:tr>
        <w:tc>
          <w:tcPr>
            <w:tcW w:type="dxa" w:w="4824"/>
          </w:tcPr>
          <w:p>
            <w:r>
              <w:rPr>
                <w:sz w:val="17"/>
              </w:rPr>
              <w:t>Review process</w:t>
            </w:r>
          </w:p>
        </w:tc>
        <w:tc>
          <w:tcPr>
            <w:tcW w:type="dxa" w:w="4824"/>
          </w:tcPr>
          <w:p>
            <w:r>
              <w:rPr>
                <w:sz w:val="17"/>
              </w:rPr>
              <w:t>FDA has 90 days to respond; the sponsor has a second 90-day period to negotiate. The full review and agreement window is 210 days.</w:t>
            </w:r>
          </w:p>
        </w:tc>
      </w:tr>
      <w:tr>
        <w:tc>
          <w:tcPr>
            <w:tcW w:type="dxa" w:w="4824"/>
          </w:tcPr>
          <w:p>
            <w:r>
              <w:rPr>
                <w:sz w:val="17"/>
              </w:rPr>
              <w:t>Current status</w:t>
            </w:r>
          </w:p>
        </w:tc>
        <w:tc>
          <w:tcPr>
            <w:tcW w:type="dxa" w:w="4824"/>
          </w:tcPr>
          <w:p>
            <w:r>
              <w:rPr>
                <w:sz w:val="17"/>
              </w:rPr>
              <w:t>Agreed iPSP in place. Adolescent study (12–17 years) deferred; studies below 12 years waived on the basis that the condition's presentation and the risk-benefit in that age group do not support the study.</w:t>
            </w:r>
          </w:p>
        </w:tc>
      </w:tr>
    </w:tbl>
    <w:p/>
    <w:p>
      <w:pPr>
        <w:spacing w:before="120"/>
        <w:ind w:left="360"/>
      </w:pPr>
      <w:r>
        <w:rPr>
          <w:i/>
          <w:color w:val="12304A"/>
          <w:sz w:val="20"/>
        </w:rPr>
        <w:t>Failure to include an agreed iPSP in an application subject to PREA may be grounds for a refuse-to-file action.</w:t>
      </w:r>
    </w:p>
    <w:p>
      <w:pPr>
        <w:spacing w:before="120"/>
        <w:ind w:left="360"/>
      </w:pPr>
      <w:r>
        <w:rPr>
          <w:i/>
          <w:color w:val="12304A"/>
          <w:sz w:val="20"/>
        </w:rPr>
        <w:t>That sentence is why this section exists. A pediatric study plan reads like an administrative deliverable — a document about studies that will happen years after launch, for a population the program is not currently treating. It is easy to treat as paperwork owned by someone else.</w:t>
      </w:r>
    </w:p>
    <w:p>
      <w:pPr>
        <w:spacing w:before="120"/>
        <w:ind w:left="360"/>
      </w:pPr>
      <w:r>
        <w:rPr>
          <w:i/>
          <w:color w:val="12304A"/>
          <w:sz w:val="20"/>
        </w:rPr>
        <w:t>It is not paperwork. An application submitted without an agreed iPSP can be refused at filing, and a refuse-to-file does not delay the review — it means there is no review. The program would return to the queue having consumed its submission window for nothing.</w:t>
      </w:r>
    </w:p>
    <w:p>
      <w:r>
        <w:t>Note the timing dependency, which is easy to miss when planning backwards from a filing date. The iPSP is due 60 days after the End-of-Phase-2 meeting, and agreement takes up to 210 days beyond that. A program that treats the iPSP as a Stage 5 activity has already missed the regulatory deadline by roughly two years, and will discover it at filing.</w:t>
      </w:r>
    </w:p>
    <w:p>
      <w:pPr>
        <w:spacing w:before="120"/>
        <w:ind w:left="360"/>
      </w:pPr>
      <w:r>
        <w:rPr>
          <w:i/>
          <w:color w:val="12304A"/>
          <w:sz w:val="20"/>
        </w:rPr>
        <w:t>What "deferred" and "waived" mean here. A deferral postpones a required pediatric study until after approval — the adolescent study becomes a post-marketing requirement with dated milestones. A waiver removes the requirement entirely, and has to be justified. This program deferred adolescents and sought a waiver below twelve years.</w:t>
      </w:r>
    </w:p>
    <w:p>
      <w:pPr>
        <w:spacing w:before="120"/>
        <w:ind w:left="360"/>
      </w:pPr>
      <w:r>
        <w:rPr>
          <w:i/>
          <w:color w:val="12304A"/>
          <w:sz w:val="20"/>
        </w:rPr>
        <w:t>The deferred study is also the route to pediatric exclusivity: completing it to a Written Request adds six months to every existing exclusivity and patent term. An obligation and an asset are the same study.</w:t>
      </w:r>
    </w:p>
    <w:p>
      <w:pPr>
        <w:spacing w:before="320"/>
      </w:pPr>
      <w:r>
        <w:rPr>
          <w:b/>
          <w:color w:val="12304A"/>
          <w:sz w:val="28"/>
        </w:rPr>
        <w:t>4. Exclusivity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Protection</w:t>
            </w:r>
          </w:p>
        </w:tc>
        <w:tc>
          <w:tcPr>
            <w:tcW w:type="dxa" w:w="3216"/>
          </w:tcPr>
          <w:p>
            <w:r>
              <w:rPr>
                <w:b/>
                <w:sz w:val="17"/>
              </w:rPr>
              <w:t>Term</w:t>
            </w:r>
          </w:p>
        </w:tc>
        <w:tc>
          <w:tcPr>
            <w:tcW w:type="dxa" w:w="3216"/>
          </w:tcPr>
          <w:p>
            <w:r>
              <w:rPr>
                <w:b/>
                <w:sz w:val="17"/>
              </w:rPr>
              <w:t>Note</w:t>
            </w:r>
          </w:p>
        </w:tc>
      </w:tr>
      <w:tr>
        <w:tc>
          <w:tcPr>
            <w:tcW w:type="dxa" w:w="3216"/>
          </w:tcPr>
          <w:p>
            <w:r>
              <w:rPr>
                <w:sz w:val="17"/>
              </w:rPr>
              <w:t>New Chemical Entity exclusivity</w:t>
            </w:r>
          </w:p>
        </w:tc>
        <w:tc>
          <w:tcPr>
            <w:tcW w:type="dxa" w:w="3216"/>
          </w:tcPr>
          <w:p>
            <w:r>
              <w:rPr>
                <w:sz w:val="17"/>
              </w:rPr>
              <w:t>5 years from approval</w:t>
            </w:r>
          </w:p>
        </w:tc>
        <w:tc>
          <w:tcPr>
            <w:tcW w:type="dxa" w:w="3216"/>
          </w:tcPr>
          <w:p>
            <w:r>
              <w:rPr>
                <w:sz w:val="17"/>
              </w:rPr>
              <w:t>No ANDA or 505(b)(2) referencing VitaFlow may be submitted for 5 years — 4 if it contains a paragraph IV patent challenge.</w:t>
            </w:r>
          </w:p>
        </w:tc>
      </w:tr>
      <w:tr>
        <w:tc>
          <w:tcPr>
            <w:tcW w:type="dxa" w:w="3216"/>
          </w:tcPr>
          <w:p>
            <w:r>
              <w:rPr>
                <w:sz w:val="17"/>
              </w:rPr>
              <w:t>Patent term</w:t>
            </w:r>
          </w:p>
        </w:tc>
        <w:tc>
          <w:tcPr>
            <w:tcW w:type="dxa" w:w="3216"/>
          </w:tcPr>
          <w:p>
            <w:r>
              <w:rPr>
                <w:sz w:val="17"/>
              </w:rPr>
              <w:t>Composition of matter, to 2039</w:t>
            </w:r>
          </w:p>
        </w:tc>
        <w:tc>
          <w:tcPr>
            <w:tcW w:type="dxa" w:w="3216"/>
          </w:tcPr>
          <w:p>
            <w:r>
              <w:rPr>
                <w:sz w:val="17"/>
              </w:rPr>
              <w:t>Filed 2019. Effective commercial life is what remains after development consumed a decade of it.</w:t>
            </w:r>
          </w:p>
        </w:tc>
      </w:tr>
      <w:tr>
        <w:tc>
          <w:tcPr>
            <w:tcW w:type="dxa" w:w="3216"/>
          </w:tcPr>
          <w:p>
            <w:r>
              <w:rPr>
                <w:sz w:val="17"/>
              </w:rPr>
              <w:t>Patent term restoration</w:t>
            </w:r>
          </w:p>
        </w:tc>
        <w:tc>
          <w:tcPr>
            <w:tcW w:type="dxa" w:w="3216"/>
          </w:tcPr>
          <w:p>
            <w:r>
              <w:rPr>
                <w:sz w:val="17"/>
              </w:rPr>
              <w:t>Applied for at approval</w:t>
            </w:r>
          </w:p>
        </w:tc>
        <w:tc>
          <w:tcPr>
            <w:tcW w:type="dxa" w:w="3216"/>
          </w:tcPr>
          <w:p>
            <w:r>
              <w:rPr>
                <w:sz w:val="17"/>
              </w:rPr>
              <w:t>Hatch-Waxman restores part of the term consumed by regulatory review, capped.</w:t>
            </w:r>
          </w:p>
        </w:tc>
      </w:tr>
      <w:tr>
        <w:tc>
          <w:tcPr>
            <w:tcW w:type="dxa" w:w="3216"/>
          </w:tcPr>
          <w:p>
            <w:r>
              <w:rPr>
                <w:sz w:val="17"/>
              </w:rPr>
              <w:t>Pediatric exclusivity</w:t>
            </w:r>
          </w:p>
        </w:tc>
        <w:tc>
          <w:tcPr>
            <w:tcW w:type="dxa" w:w="3216"/>
          </w:tcPr>
          <w:p>
            <w:r>
              <w:rPr>
                <w:sz w:val="17"/>
              </w:rPr>
              <w:t>Additional 6 months, if earned</w:t>
            </w:r>
          </w:p>
        </w:tc>
        <w:tc>
          <w:tcPr>
            <w:tcW w:type="dxa" w:w="3216"/>
          </w:tcPr>
          <w:p>
            <w:r>
              <w:rPr>
                <w:sz w:val="17"/>
              </w:rPr>
              <w:t>Attaches to existing exclusivities and patents if pediatric studies are completed to a Written Request. The deferred adolescent study is the route to it.</w:t>
            </w:r>
          </w:p>
        </w:tc>
      </w:tr>
    </w:tbl>
    <w:p/>
    <w:p>
      <w:pPr>
        <w:spacing w:before="120"/>
        <w:ind w:left="360"/>
      </w:pPr>
      <w:r>
        <w:rPr>
          <w:i/>
          <w:color w:val="12304A"/>
          <w:sz w:val="20"/>
        </w:rPr>
        <w:t>The arithmetic that shapes every development schedule. The composition-of-matter patent was filed in 2019 and runs to 2039. Launch is November 2029. That leaves roughly a decade of protected commercial life — from a twenty-year term, half of which development consumed.</w:t>
      </w:r>
    </w:p>
    <w:p>
      <w:pPr>
        <w:spacing w:before="120"/>
        <w:ind w:left="360"/>
      </w:pPr>
      <w:r>
        <w:rPr>
          <w:i/>
          <w:color w:val="12304A"/>
          <w:sz w:val="20"/>
        </w:rPr>
        <w:t>This is why filing dates are defended as hard as they are, and it is the honest answer to "why not just take another year to get the data cleaner." Every month of development is a month of patent life spent before a single unit is sold. Patent term restoration returns part of it, capped, but never all.</w:t>
      </w:r>
    </w:p>
    <w:p>
      <w:r>
        <w:t>Regulatory exclusivity and patent protection are separate mechanisms that people routinely conflate. Five-year NCE exclusivity blocks the submission of a competing generic application regardless of patent status; a patent blocks marketing. They run concurrently from different start dates and end at different times.</w:t>
      </w:r>
    </w:p>
    <w:p>
      <w:pPr>
        <w:spacing w:before="320"/>
      </w:pPr>
      <w:r>
        <w:rPr>
          <w:b/>
          <w:color w:val="12304A"/>
          <w:sz w:val="28"/>
        </w:rPr>
        <w:t>5. Agency Interaction</w:t>
      </w:r>
    </w:p>
    <w:p>
      <w:r>
        <w:t>Four formal meetings across the program, each placed where the agency's position changes what the program would otherwise do.</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Meeting</w:t>
            </w:r>
          </w:p>
        </w:tc>
        <w:tc>
          <w:tcPr>
            <w:tcW w:type="dxa" w:w="2412"/>
          </w:tcPr>
          <w:p>
            <w:r>
              <w:rPr>
                <w:b/>
                <w:sz w:val="17"/>
              </w:rPr>
              <w:t>When</w:t>
            </w:r>
          </w:p>
        </w:tc>
        <w:tc>
          <w:tcPr>
            <w:tcW w:type="dxa" w:w="2412"/>
          </w:tcPr>
          <w:p>
            <w:r>
              <w:rPr>
                <w:b/>
                <w:sz w:val="17"/>
              </w:rPr>
              <w:t>Status</w:t>
            </w:r>
          </w:p>
        </w:tc>
        <w:tc>
          <w:tcPr>
            <w:tcW w:type="dxa" w:w="2412"/>
          </w:tcPr>
          <w:p>
            <w:r>
              <w:rPr>
                <w:b/>
                <w:sz w:val="17"/>
              </w:rPr>
              <w:t>What it settled</w:t>
            </w:r>
          </w:p>
        </w:tc>
      </w:tr>
      <w:tr>
        <w:tc>
          <w:tcPr>
            <w:tcW w:type="dxa" w:w="2412"/>
          </w:tcPr>
          <w:p>
            <w:r>
              <w:rPr>
                <w:sz w:val="17"/>
              </w:rPr>
              <w:t>Pre-IND (Type B)</w:t>
            </w:r>
          </w:p>
        </w:tc>
        <w:tc>
          <w:tcPr>
            <w:tcW w:type="dxa" w:w="2412"/>
          </w:tcPr>
          <w:p>
            <w:r>
              <w:rPr>
                <w:sz w:val="17"/>
              </w:rPr>
              <w:t>May 2023</w:t>
            </w:r>
          </w:p>
        </w:tc>
        <w:tc>
          <w:tcPr>
            <w:tcW w:type="dxa" w:w="2412"/>
          </w:tcPr>
          <w:p>
            <w:r>
              <w:rPr>
                <w:sz w:val="17"/>
              </w:rPr>
              <w:t>held</w:t>
            </w:r>
          </w:p>
        </w:tc>
        <w:tc>
          <w:tcPr>
            <w:tcW w:type="dxa" w:w="2412"/>
          </w:tcPr>
          <w:p>
            <w:r>
              <w:rPr>
                <w:sz w:val="17"/>
              </w:rPr>
              <w:t>Nonclinical package sufficiency; first-in-human design; CMC expectations</w:t>
            </w:r>
          </w:p>
        </w:tc>
      </w:tr>
      <w:tr>
        <w:tc>
          <w:tcPr>
            <w:tcW w:type="dxa" w:w="2412"/>
          </w:tcPr>
          <w:p>
            <w:r>
              <w:rPr>
                <w:sz w:val="17"/>
              </w:rPr>
              <w:t>End-of-Phase-1 (Type B)</w:t>
            </w:r>
          </w:p>
        </w:tc>
        <w:tc>
          <w:tcPr>
            <w:tcW w:type="dxa" w:w="2412"/>
          </w:tcPr>
          <w:p>
            <w:r>
              <w:rPr>
                <w:sz w:val="17"/>
              </w:rPr>
              <w:t>Apr 2024</w:t>
            </w:r>
          </w:p>
        </w:tc>
        <w:tc>
          <w:tcPr>
            <w:tcW w:type="dxa" w:w="2412"/>
          </w:tcPr>
          <w:p>
            <w:r>
              <w:rPr>
                <w:sz w:val="17"/>
              </w:rPr>
              <w:t>held</w:t>
            </w:r>
          </w:p>
        </w:tc>
        <w:tc>
          <w:tcPr>
            <w:tcW w:type="dxa" w:w="2412"/>
          </w:tcPr>
          <w:p>
            <w:r>
              <w:rPr>
                <w:sz w:val="17"/>
              </w:rPr>
              <w:t>Phase 2 dose selection and dose-ranging design</w:t>
            </w:r>
          </w:p>
        </w:tc>
      </w:tr>
      <w:tr>
        <w:tc>
          <w:tcPr>
            <w:tcW w:type="dxa" w:w="2412"/>
          </w:tcPr>
          <w:p>
            <w:r>
              <w:rPr>
                <w:sz w:val="17"/>
              </w:rPr>
              <w:t>End-of-Phase-2 (Type B)</w:t>
            </w:r>
          </w:p>
        </w:tc>
        <w:tc>
          <w:tcPr>
            <w:tcW w:type="dxa" w:w="2412"/>
          </w:tcPr>
          <w:p>
            <w:r>
              <w:rPr>
                <w:sz w:val="17"/>
              </w:rPr>
              <w:t>May 2026</w:t>
            </w:r>
          </w:p>
        </w:tc>
        <w:tc>
          <w:tcPr>
            <w:tcW w:type="dxa" w:w="2412"/>
          </w:tcPr>
          <w:p>
            <w:r>
              <w:rPr>
                <w:sz w:val="17"/>
              </w:rPr>
              <w:t>held</w:t>
            </w:r>
          </w:p>
        </w:tc>
        <w:tc>
          <w:tcPr>
            <w:tcW w:type="dxa" w:w="2412"/>
          </w:tcPr>
          <w:p>
            <w:r>
              <w:rPr>
                <w:sz w:val="17"/>
              </w:rPr>
              <w:t>Pivotal design, co-primary endpoints, CV safety expectations, statistical plan</w:t>
            </w:r>
          </w:p>
        </w:tc>
      </w:tr>
      <w:tr>
        <w:tc>
          <w:tcPr>
            <w:tcW w:type="dxa" w:w="2412"/>
          </w:tcPr>
          <w:p>
            <w:r>
              <w:rPr>
                <w:sz w:val="17"/>
              </w:rPr>
              <w:t>Pre-NDA (Type B)</w:t>
            </w:r>
          </w:p>
        </w:tc>
        <w:tc>
          <w:tcPr>
            <w:tcW w:type="dxa" w:w="2412"/>
          </w:tcPr>
          <w:p>
            <w:r>
              <w:rPr>
                <w:sz w:val="17"/>
              </w:rPr>
              <w:t>Aug 2028</w:t>
            </w:r>
          </w:p>
        </w:tc>
        <w:tc>
          <w:tcPr>
            <w:tcW w:type="dxa" w:w="2412"/>
          </w:tcPr>
          <w:p>
            <w:r>
              <w:rPr>
                <w:sz w:val="17"/>
              </w:rPr>
              <w:t>planned</w:t>
            </w:r>
          </w:p>
        </w:tc>
        <w:tc>
          <w:tcPr>
            <w:tcW w:type="dxa" w:w="2412"/>
          </w:tcPr>
          <w:p>
            <w:r>
              <w:rPr>
                <w:sz w:val="17"/>
              </w:rPr>
              <w:t>NDA content and format, integrated summaries, labeling strategy</w:t>
            </w:r>
          </w:p>
        </w:tc>
      </w:tr>
    </w:tbl>
    <w:p/>
    <w:p>
      <w:pPr>
        <w:spacing w:before="120"/>
        <w:ind w:left="360"/>
      </w:pPr>
      <w:r>
        <w:rPr>
          <w:i/>
          <w:color w:val="12304A"/>
          <w:sz w:val="20"/>
        </w:rPr>
        <w:t>The End-of-Phase-2 meeting is the one that matters, and Gate 4 was deliberately scheduled after it. That meeting settled the endpoint hierarchy, the pivotal design, and the cardiovascular safety expectation that became CR-02 and $7.2M of contingency.</w:t>
      </w:r>
    </w:p>
    <w:p>
      <w:pPr>
        <w:spacing w:before="120"/>
        <w:ind w:left="360"/>
      </w:pPr>
      <w:r>
        <w:rPr>
          <w:i/>
          <w:color w:val="12304A"/>
          <w:sz w:val="20"/>
        </w:rPr>
        <w:t>Taking the Phase 3 authorization before that meeting would have committed $125,800,000 against assumptions the agency had not yet confirmed. The gate sits after the meeting because the meeting is where the information arrives — the same principle the suite index sets out for every gate placement in the program.</w:t>
      </w:r>
    </w:p>
    <w:p>
      <w:r>
        <w:t>Meetings are requested with a briefing package and specific questions. A meeting request without questions produces a discussion; a meeting request with numbered questions produces answers a program can act on and, more importantly, a written record of what was agreed.</w:t>
      </w:r>
    </w:p>
    <w:p>
      <w:pPr>
        <w:spacing w:before="320"/>
      </w:pPr>
      <w:r>
        <w:rPr>
          <w:b/>
          <w:color w:val="12304A"/>
          <w:sz w:val="28"/>
        </w:rPr>
        <w:t>6. Geographic Strategy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Market</w:t>
            </w:r>
          </w:p>
        </w:tc>
        <w:tc>
          <w:tcPr>
            <w:tcW w:type="dxa" w:w="3216"/>
          </w:tcPr>
          <w:p>
            <w:r>
              <w:rPr>
                <w:b/>
                <w:sz w:val="17"/>
              </w:rPr>
              <w:t>Position</w:t>
            </w:r>
          </w:p>
        </w:tc>
        <w:tc>
          <w:tcPr>
            <w:tcW w:type="dxa" w:w="3216"/>
          </w:tcPr>
          <w:p>
            <w:r>
              <w:rPr>
                <w:b/>
                <w:sz w:val="17"/>
              </w:rPr>
              <w:t>Rationale</w:t>
            </w:r>
          </w:p>
        </w:tc>
      </w:tr>
      <w:tr>
        <w:tc>
          <w:tcPr>
            <w:tcW w:type="dxa" w:w="3216"/>
          </w:tcPr>
          <w:p>
            <w:r>
              <w:rPr>
                <w:sz w:val="17"/>
              </w:rPr>
              <w:t>United States</w:t>
            </w:r>
          </w:p>
        </w:tc>
        <w:tc>
          <w:tcPr>
            <w:tcW w:type="dxa" w:w="3216"/>
          </w:tcPr>
          <w:p>
            <w:r>
              <w:rPr>
                <w:sz w:val="17"/>
              </w:rPr>
              <w:t>Primary filing, 2028</w:t>
            </w:r>
          </w:p>
        </w:tc>
        <w:tc>
          <w:tcPr>
            <w:tcW w:type="dxa" w:w="3216"/>
          </w:tcPr>
          <w:p>
            <w:r>
              <w:rPr>
                <w:sz w:val="17"/>
              </w:rPr>
              <w:t>Largest market for this indication, and the market the development program was designed against.</w:t>
            </w:r>
          </w:p>
        </w:tc>
      </w:tr>
      <w:tr>
        <w:tc>
          <w:tcPr>
            <w:tcW w:type="dxa" w:w="3216"/>
          </w:tcPr>
          <w:p>
            <w:r>
              <w:rPr>
                <w:sz w:val="17"/>
              </w:rPr>
              <w:t>European Union</w:t>
            </w:r>
          </w:p>
        </w:tc>
        <w:tc>
          <w:tcPr>
            <w:tcW w:type="dxa" w:w="3216"/>
          </w:tcPr>
          <w:p>
            <w:r>
              <w:rPr>
                <w:sz w:val="17"/>
              </w:rPr>
              <w:t>Deferred to Year 4+</w:t>
            </w:r>
          </w:p>
        </w:tc>
        <w:tc>
          <w:tcPr>
            <w:tcW w:type="dxa" w:w="3216"/>
          </w:tcPr>
          <w:p>
            <w:r>
              <w:rPr>
                <w:sz w:val="17"/>
              </w:rPr>
              <w:t>A centralized procedure requires additional dossier work, an EU-specific pediatric investigation plan, and a distinct health-technology-assessment path per member state. Deferring is a resourcing decision, not a scientific one.</w:t>
            </w:r>
          </w:p>
        </w:tc>
      </w:tr>
      <w:tr>
        <w:tc>
          <w:tcPr>
            <w:tcW w:type="dxa" w:w="3216"/>
          </w:tcPr>
          <w:p>
            <w:r>
              <w:rPr>
                <w:sz w:val="17"/>
              </w:rPr>
              <w:t>Rest of world</w:t>
            </w:r>
          </w:p>
        </w:tc>
        <w:tc>
          <w:tcPr>
            <w:tcW w:type="dxa" w:w="3216"/>
          </w:tcPr>
          <w:p>
            <w:r>
              <w:rPr>
                <w:sz w:val="17"/>
              </w:rPr>
              <w:t>Not in scope</w:t>
            </w:r>
          </w:p>
        </w:tc>
        <w:tc>
          <w:tcPr>
            <w:tcW w:type="dxa" w:w="3216"/>
          </w:tcPr>
          <w:p>
            <w:r>
              <w:rPr>
                <w:sz w:val="17"/>
              </w:rPr>
              <w:t>Out of this program's authorization entirely.</w:t>
            </w:r>
          </w:p>
        </w:tc>
      </w:tr>
    </w:tbl>
    <w:p/>
    <w:p>
      <w:pPr>
        <w:spacing w:before="120"/>
        <w:ind w:left="360"/>
      </w:pPr>
      <w:r>
        <w:rPr>
          <w:i/>
          <w:color w:val="12304A"/>
          <w:sz w:val="20"/>
        </w:rPr>
        <w:t>Deferring the EU is a real decision with a real cost, recorded rather than assumed. It delays revenue from a substantial market, and it means the EU filing will be built later by a team that did not run the development program.</w:t>
      </w:r>
    </w:p>
    <w:p>
      <w:pPr>
        <w:spacing w:before="120"/>
        <w:ind w:left="360"/>
      </w:pPr>
      <w:r>
        <w:rPr>
          <w:i/>
          <w:color w:val="12304A"/>
          <w:sz w:val="20"/>
        </w:rPr>
        <w:t>The alternative — parallel filings — would have required the pivotal program to be designed against two regulators' expectations simultaneously, and would have added an EU paediatric investigation plan to the obligations at §3. Neither was free. The program chose sequence over breadth, and the Charter §4 records EU filing as explicitly out of scope so nobody later assumes it was overlooked.</w:t>
      </w:r>
    </w:p>
    <w:p>
      <w:pPr>
        <w:spacing w:before="320"/>
      </w:pPr>
      <w:r>
        <w:rPr>
          <w:b/>
          <w:color w:val="12304A"/>
          <w:sz w:val="28"/>
        </w:rPr>
        <w:t>7. What Regulatory Owns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Activity</w:t>
            </w:r>
          </w:p>
        </w:tc>
        <w:tc>
          <w:tcPr>
            <w:tcW w:type="dxa" w:w="3216"/>
          </w:tcPr>
          <w:p>
            <w:r>
              <w:rPr>
                <w:b/>
                <w:sz w:val="17"/>
              </w:rPr>
              <w:t>Retained or contracted</w:t>
            </w:r>
          </w:p>
        </w:tc>
        <w:tc>
          <w:tcPr>
            <w:tcW w:type="dxa" w:w="3216"/>
          </w:tcPr>
          <w:p>
            <w:r>
              <w:rPr>
                <w:b/>
                <w:sz w:val="17"/>
              </w:rPr>
              <w:t>Accountable</w:t>
            </w:r>
          </w:p>
        </w:tc>
      </w:tr>
      <w:tr>
        <w:tc>
          <w:tcPr>
            <w:tcW w:type="dxa" w:w="3216"/>
          </w:tcPr>
          <w:p>
            <w:r>
              <w:rPr>
                <w:sz w:val="17"/>
              </w:rPr>
              <w:t>Regulatory strategy and pathway</w:t>
            </w:r>
          </w:p>
        </w:tc>
        <w:tc>
          <w:tcPr>
            <w:tcW w:type="dxa" w:w="3216"/>
          </w:tcPr>
          <w:p>
            <w:r>
              <w:rPr>
                <w:sz w:val="17"/>
              </w:rPr>
              <w:t>Sponsor</w:t>
            </w:r>
          </w:p>
        </w:tc>
        <w:tc>
          <w:tcPr>
            <w:tcW w:type="dxa" w:w="3216"/>
          </w:tcPr>
          <w:p>
            <w:r>
              <w:rPr>
                <w:sz w:val="17"/>
              </w:rPr>
              <w:t>Dr. P. Raghunathan</w:t>
            </w:r>
          </w:p>
        </w:tc>
      </w:tr>
      <w:tr>
        <w:tc>
          <w:tcPr>
            <w:tcW w:type="dxa" w:w="3216"/>
          </w:tcPr>
          <w:p>
            <w:r>
              <w:rPr>
                <w:sz w:val="17"/>
              </w:rPr>
              <w:t>Agency meeting requests and briefing packages</w:t>
            </w:r>
          </w:p>
        </w:tc>
        <w:tc>
          <w:tcPr>
            <w:tcW w:type="dxa" w:w="3216"/>
          </w:tcPr>
          <w:p>
            <w:r>
              <w:rPr>
                <w:sz w:val="17"/>
              </w:rPr>
              <w:t>Sponsor</w:t>
            </w:r>
          </w:p>
        </w:tc>
        <w:tc>
          <w:tcPr>
            <w:tcW w:type="dxa" w:w="3216"/>
          </w:tcPr>
          <w:p>
            <w:r>
              <w:rPr>
                <w:sz w:val="17"/>
              </w:rPr>
              <w:t>Regulatory Affairs</w:t>
            </w:r>
          </w:p>
        </w:tc>
      </w:tr>
      <w:tr>
        <w:tc>
          <w:tcPr>
            <w:tcW w:type="dxa" w:w="3216"/>
          </w:tcPr>
          <w:p>
            <w:r>
              <w:rPr>
                <w:sz w:val="17"/>
              </w:rPr>
              <w:t>IND maintenance and annual reports</w:t>
            </w:r>
          </w:p>
        </w:tc>
        <w:tc>
          <w:tcPr>
            <w:tcW w:type="dxa" w:w="3216"/>
          </w:tcPr>
          <w:p>
            <w:r>
              <w:rPr>
                <w:sz w:val="17"/>
              </w:rPr>
              <w:t>Sponsor</w:t>
            </w:r>
          </w:p>
        </w:tc>
        <w:tc>
          <w:tcPr>
            <w:tcW w:type="dxa" w:w="3216"/>
          </w:tcPr>
          <w:p>
            <w:r>
              <w:rPr>
                <w:sz w:val="17"/>
              </w:rPr>
              <w:t>Regulatory Operations</w:t>
            </w:r>
          </w:p>
        </w:tc>
      </w:tr>
      <w:tr>
        <w:tc>
          <w:tcPr>
            <w:tcW w:type="dxa" w:w="3216"/>
          </w:tcPr>
          <w:p>
            <w:r>
              <w:rPr>
                <w:sz w:val="17"/>
              </w:rPr>
              <w:t>Module 3 authorship (quality)</w:t>
            </w:r>
          </w:p>
        </w:tc>
        <w:tc>
          <w:tcPr>
            <w:tcW w:type="dxa" w:w="3216"/>
          </w:tcPr>
          <w:p>
            <w:r>
              <w:rPr>
                <w:sz w:val="17"/>
              </w:rPr>
              <w:t>Sponsor with Aldergate input</w:t>
            </w:r>
          </w:p>
        </w:tc>
        <w:tc>
          <w:tcPr>
            <w:tcW w:type="dxa" w:w="3216"/>
          </w:tcPr>
          <w:p>
            <w:r>
              <w:rPr>
                <w:sz w:val="17"/>
              </w:rPr>
              <w:t>Technical Operations</w:t>
            </w:r>
          </w:p>
        </w:tc>
      </w:tr>
      <w:tr>
        <w:tc>
          <w:tcPr>
            <w:tcW w:type="dxa" w:w="3216"/>
          </w:tcPr>
          <w:p>
            <w:r>
              <w:rPr>
                <w:sz w:val="17"/>
              </w:rPr>
              <w:t>Module 4 authorship (nonclinical)</w:t>
            </w:r>
          </w:p>
        </w:tc>
        <w:tc>
          <w:tcPr>
            <w:tcW w:type="dxa" w:w="3216"/>
          </w:tcPr>
          <w:p>
            <w:r>
              <w:rPr>
                <w:sz w:val="17"/>
              </w:rPr>
              <w:t>Sponsor</w:t>
            </w:r>
          </w:p>
        </w:tc>
        <w:tc>
          <w:tcPr>
            <w:tcW w:type="dxa" w:w="3216"/>
          </w:tcPr>
          <w:p>
            <w:r>
              <w:rPr>
                <w:sz w:val="17"/>
              </w:rPr>
              <w:t>Nonclinical</w:t>
            </w:r>
          </w:p>
        </w:tc>
      </w:tr>
      <w:tr>
        <w:tc>
          <w:tcPr>
            <w:tcW w:type="dxa" w:w="3216"/>
          </w:tcPr>
          <w:p>
            <w:r>
              <w:rPr>
                <w:sz w:val="17"/>
              </w:rPr>
              <w:t>Module 5 authorship (clinical)</w:t>
            </w:r>
          </w:p>
        </w:tc>
        <w:tc>
          <w:tcPr>
            <w:tcW w:type="dxa" w:w="3216"/>
          </w:tcPr>
          <w:p>
            <w:r>
              <w:rPr>
                <w:sz w:val="17"/>
              </w:rPr>
              <w:t>Sponsor with Meridian input</w:t>
            </w:r>
          </w:p>
        </w:tc>
        <w:tc>
          <w:tcPr>
            <w:tcW w:type="dxa" w:w="3216"/>
          </w:tcPr>
          <w:p>
            <w:r>
              <w:rPr>
                <w:sz w:val="17"/>
              </w:rPr>
              <w:t>Clinical Development</w:t>
            </w:r>
          </w:p>
        </w:tc>
      </w:tr>
      <w:tr>
        <w:tc>
          <w:tcPr>
            <w:tcW w:type="dxa" w:w="3216"/>
          </w:tcPr>
          <w:p>
            <w:r>
              <w:rPr>
                <w:sz w:val="17"/>
              </w:rPr>
              <w:t>Publishing and eCTD assembly</w:t>
            </w:r>
          </w:p>
        </w:tc>
        <w:tc>
          <w:tcPr>
            <w:tcW w:type="dxa" w:w="3216"/>
          </w:tcPr>
          <w:p>
            <w:r>
              <w:rPr>
                <w:sz w:val="17"/>
              </w:rPr>
              <w:t>Contracted</w:t>
            </w:r>
          </w:p>
        </w:tc>
        <w:tc>
          <w:tcPr>
            <w:tcW w:type="dxa" w:w="3216"/>
          </w:tcPr>
          <w:p>
            <w:r>
              <w:rPr>
                <w:sz w:val="17"/>
              </w:rPr>
              <w:t>Regulatory Operations oversight</w:t>
            </w:r>
          </w:p>
        </w:tc>
      </w:tr>
      <w:tr>
        <w:tc>
          <w:tcPr>
            <w:tcW w:type="dxa" w:w="3216"/>
          </w:tcPr>
          <w:p>
            <w:r>
              <w:rPr>
                <w:sz w:val="17"/>
              </w:rPr>
              <w:t>Labeling negotiation</w:t>
            </w:r>
          </w:p>
        </w:tc>
        <w:tc>
          <w:tcPr>
            <w:tcW w:type="dxa" w:w="3216"/>
          </w:tcPr>
          <w:p>
            <w:r>
              <w:rPr>
                <w:sz w:val="17"/>
              </w:rPr>
              <w:t>Sponsor, with Thorne &amp; Vale LLP</w:t>
            </w:r>
          </w:p>
        </w:tc>
        <w:tc>
          <w:tcPr>
            <w:tcW w:type="dxa" w:w="3216"/>
          </w:tcPr>
          <w:p>
            <w:r>
              <w:rPr>
                <w:sz w:val="17"/>
              </w:rPr>
              <w:t>Dr. P. Raghunathan</w:t>
            </w:r>
          </w:p>
        </w:tc>
      </w:tr>
      <w:tr>
        <w:tc>
          <w:tcPr>
            <w:tcW w:type="dxa" w:w="3216"/>
          </w:tcPr>
          <w:p>
            <w:r>
              <w:rPr>
                <w:sz w:val="17"/>
              </w:rPr>
              <w:t>Commitment to post-marketing requirements</w:t>
            </w:r>
          </w:p>
        </w:tc>
        <w:tc>
          <w:tcPr>
            <w:tcW w:type="dxa" w:w="3216"/>
          </w:tcPr>
          <w:p>
            <w:r>
              <w:rPr>
                <w:sz w:val="17"/>
              </w:rPr>
              <w:t>Sponsor</w:t>
            </w:r>
          </w:p>
        </w:tc>
        <w:tc>
          <w:tcPr>
            <w:tcW w:type="dxa" w:w="3216"/>
          </w:tcPr>
          <w:p>
            <w:r>
              <w:rPr>
                <w:sz w:val="17"/>
              </w:rPr>
              <w:t>Development Committee</w:t>
            </w:r>
          </w:p>
        </w:tc>
      </w:tr>
    </w:tbl>
    <w:p/>
    <w:p>
      <w:pPr>
        <w:spacing w:before="120"/>
        <w:ind w:left="360"/>
      </w:pPr>
      <w:r>
        <w:rPr>
          <w:i/>
          <w:color w:val="12304A"/>
          <w:sz w:val="20"/>
        </w:rPr>
        <w:t>Almost nothing here is contracted, and the pattern matches the CRO Oversight Plan: what gets retained is what carries regulatory liability or requires judgment about the sponsor's own product. Only publishing and eCTD assembly — a technical production activity — sits outside.</w:t>
      </w:r>
    </w:p>
    <w:p>
      <w:pPr>
        <w:spacing w:before="120"/>
        <w:ind w:left="360"/>
      </w:pPr>
      <w:r>
        <w:rPr>
          <w:i/>
          <w:color w:val="12304A"/>
          <w:sz w:val="20"/>
        </w:rPr>
        <w:t>The reason is the same reason set out in the safety and vendor artifacts. Vitalis holds the IND and will hold the NDA. Every obligation in this document attaches to the holder, and a sponsor cannot contract away a duty the agency will hold it to.</w:t>
      </w:r>
    </w:p>
    <w:p>
      <w:pPr>
        <w:spacing w:before="200"/>
      </w:pPr>
      <w:r>
        <w:rPr>
          <w:b/>
          <w:color w:val="2B5F8E"/>
          <w:sz w:val="23"/>
        </w:rPr>
        <w:t>What the program manager contributes</w:t>
      </w:r>
    </w:p>
    <w:p>
      <w:pPr>
        <w:pStyle w:val="ListBullet"/>
      </w:pPr>
      <w:r>
        <w:t>Sequencing agency interaction against decision points — the End-of-Phase-2 meeting before Gate 4, not after.</w:t>
      </w:r>
    </w:p>
    <w:p>
      <w:pPr>
        <w:pStyle w:val="ListBullet"/>
      </w:pPr>
      <w:r>
        <w:t>Surfacing obligations that look administrative — the iPSP timing at §3 is the clearest instance, and it is invisible on any schedule built backwards from the filing date.</w:t>
      </w:r>
    </w:p>
    <w:p>
      <w:pPr>
        <w:pStyle w:val="ListBullet"/>
      </w:pPr>
      <w:r>
        <w:t>Refusing designations the evidence does not support, when the commercial pressure to apply is real and the cost of applying looks like zero.</w:t>
      </w:r>
    </w:p>
    <w:p>
      <w:pPr>
        <w:pStyle w:val="ListBullet"/>
      </w:pPr>
      <w:r>
        <w:t>Holding the patent-life arithmetic visible, so that schedule decisions are taken against what they actually cost rather than against a calendar.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