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GOVERNANCE · VITALIS THERAPEUTICS INC.</w:t>
      </w:r>
    </w:p>
    <w:p>
      <w:r>
        <w:rPr>
          <w:b/>
          <w:color w:val="12304A"/>
          <w:sz w:val="44"/>
        </w:rPr>
        <w:t>SOW-WP2</w:t>
      </w:r>
    </w:p>
    <w:p>
      <w:r>
        <w:rPr>
          <w:i/>
          <w:color w:val="6B7280"/>
          <w:sz w:val="17"/>
        </w:rPr>
        <w:t>Vitalis Therapeutics Inc. · VitaFlow (VTX-401) · CRO Oversight Plan · status October 15, 2026. Fictional program; the regulatory framework described is real.</w:t>
      </w:r>
    </w:p>
    <w:p/>
    <w:p>
      <w:r>
        <w:t>Both pivotal Phase 3 studies and the cardiovascular sub-study, under the Master Services Agreement and the 312.52 transfer schedule.</w:t>
      </w:r>
    </w:p>
    <w:p>
      <w:pPr>
        <w:spacing w:before="320"/>
      </w:pPr>
      <w:r>
        <w:rPr>
          <w:b/>
          <w:color w:val="12304A"/>
          <w:sz w:val="28"/>
        </w:rPr>
        <w:t>SOW-WP2 · Stage 4 · Phase 3 Execution — Both Pivotals and CV Sub-Study</w:t>
      </w:r>
    </w:p>
    <w:p>
      <w:pPr>
        <w:spacing w:before="200"/>
      </w:pPr>
      <w:r>
        <w:rPr>
          <w:b/>
          <w:color w:val="2B5F8E"/>
          <w:sz w:val="23"/>
        </w:rPr>
        <w:t>1 · Parties and Instrument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Work package</w:t>
            </w:r>
          </w:p>
        </w:tc>
        <w:tc>
          <w:tcPr>
            <w:tcW w:type="dxa" w:w="4824"/>
          </w:tcPr>
          <w:p>
            <w:r>
              <w:rPr>
                <w:sz w:val="17"/>
              </w:rPr>
              <w:t>SOW-WP2 — Stage 4 — Phase 3 Execution — Both Pivotals and CV Sub-Study</w:t>
            </w:r>
          </w:p>
        </w:tc>
      </w:tr>
      <w:tr>
        <w:tc>
          <w:tcPr>
            <w:tcW w:type="dxa" w:w="4824"/>
          </w:tcPr>
          <w:p>
            <w:r>
              <w:rPr>
                <w:sz w:val="17"/>
              </w:rPr>
              <w:t>Governing agreement</w:t>
            </w:r>
          </w:p>
        </w:tc>
        <w:tc>
          <w:tcPr>
            <w:tcW w:type="dxa" w:w="4824"/>
          </w:tcPr>
          <w:p>
            <w:r>
              <w:rPr>
                <w:sz w:val="17"/>
              </w:rPr>
              <w:t>Master Services Agreement between the parties — fixed price by work package, rate card annexed for change orders</w:t>
            </w:r>
          </w:p>
        </w:tc>
      </w:tr>
      <w:tr>
        <w:tc>
          <w:tcPr>
            <w:tcW w:type="dxa" w:w="4824"/>
          </w:tcPr>
          <w:p>
            <w:r>
              <w:rPr>
                <w:sz w:val="17"/>
              </w:rPr>
              <w:t>Sponsor</w:t>
            </w:r>
          </w:p>
        </w:tc>
        <w:tc>
          <w:tcPr>
            <w:tcW w:type="dxa" w:w="4824"/>
          </w:tcPr>
          <w:p>
            <w:r>
              <w:rPr>
                <w:sz w:val="17"/>
              </w:rPr>
              <w:t>Vitalis Therapeutics Inc. ("Sponsor")</w:t>
            </w:r>
          </w:p>
        </w:tc>
      </w:tr>
      <w:tr>
        <w:tc>
          <w:tcPr>
            <w:tcW w:type="dxa" w:w="4824"/>
          </w:tcPr>
          <w:p>
            <w:r>
              <w:rPr>
                <w:sz w:val="17"/>
              </w:rPr>
              <w:t>CRO</w:t>
            </w:r>
          </w:p>
        </w:tc>
        <w:tc>
          <w:tcPr>
            <w:tcW w:type="dxa" w:w="4824"/>
          </w:tcPr>
          <w:p>
            <w:r>
              <w:rPr>
                <w:sz w:val="17"/>
              </w:rPr>
              <w:t>Meridian Clinical Research ("CRO")</w:t>
            </w:r>
          </w:p>
        </w:tc>
      </w:tr>
      <w:tr>
        <w:tc>
          <w:tcPr>
            <w:tcW w:type="dxa" w:w="4824"/>
          </w:tcPr>
          <w:p>
            <w:r>
              <w:rPr>
                <w:sz w:val="17"/>
              </w:rPr>
              <w:t>Program</w:t>
            </w:r>
          </w:p>
        </w:tc>
        <w:tc>
          <w:tcPr>
            <w:tcW w:type="dxa" w:w="4824"/>
          </w:tcPr>
          <w:p>
            <w:r>
              <w:rPr>
                <w:sz w:val="17"/>
              </w:rPr>
              <w:t>VitaFlow (VTX-401)</w:t>
            </w:r>
          </w:p>
        </w:tc>
      </w:tr>
      <w:tr>
        <w:tc>
          <w:tcPr>
            <w:tcW w:type="dxa" w:w="4824"/>
          </w:tcPr>
          <w:p>
            <w:r>
              <w:rPr>
                <w:sz w:val="17"/>
              </w:rPr>
              <w:t>Sponsor program authority</w:t>
            </w:r>
          </w:p>
        </w:tc>
        <w:tc>
          <w:tcPr>
            <w:tcW w:type="dxa" w:w="4824"/>
          </w:tcPr>
          <w:p>
            <w:r>
              <w:rPr>
                <w:sz w:val="17"/>
              </w:rPr>
              <w:t>C. Tyrrell — Program Director</w:t>
            </w:r>
          </w:p>
        </w:tc>
      </w:tr>
      <w:tr>
        <w:tc>
          <w:tcPr>
            <w:tcW w:type="dxa" w:w="4824"/>
          </w:tcPr>
          <w:p>
            <w:r>
              <w:rPr>
                <w:sz w:val="17"/>
              </w:rPr>
              <w:t>Sponsor medical authority</w:t>
            </w:r>
          </w:p>
        </w:tc>
        <w:tc>
          <w:tcPr>
            <w:tcW w:type="dxa" w:w="4824"/>
          </w:tcPr>
          <w:p>
            <w:r>
              <w:rPr>
                <w:sz w:val="17"/>
              </w:rPr>
              <w:t>Dr. A. Okoye — Chief Medical Officer</w:t>
            </w:r>
          </w:p>
        </w:tc>
      </w:tr>
      <w:tr>
        <w:tc>
          <w:tcPr>
            <w:tcW w:type="dxa" w:w="4824"/>
          </w:tcPr>
          <w:p>
            <w:r>
              <w:rPr>
                <w:sz w:val="17"/>
              </w:rPr>
              <w:t>Value</w:t>
            </w:r>
          </w:p>
        </w:tc>
        <w:tc>
          <w:tcPr>
            <w:tcW w:type="dxa" w:w="4824"/>
          </w:tcPr>
          <w:p>
            <w:r>
              <w:rPr>
                <w:sz w:val="17"/>
              </w:rPr>
              <w:t>$68,500,000 — Authorized</w:t>
            </w:r>
          </w:p>
        </w:tc>
      </w:tr>
      <w:tr>
        <w:tc>
          <w:tcPr>
            <w:tcW w:type="dxa" w:w="4824"/>
          </w:tcPr>
          <w:p>
            <w:r>
              <w:rPr>
                <w:sz w:val="17"/>
              </w:rPr>
              <w:t>Release</w:t>
            </w:r>
          </w:p>
        </w:tc>
        <w:tc>
          <w:tcPr>
            <w:tcW w:type="dxa" w:w="4824"/>
          </w:tcPr>
          <w:p>
            <w:r>
              <w:rPr>
                <w:sz w:val="17"/>
              </w:rPr>
              <w:t>By notice at the gate opening the stage, against the released tranche</w:t>
            </w:r>
          </w:p>
        </w:tc>
      </w:tr>
    </w:tbl>
    <w:p/>
    <w:p>
      <w:pPr>
        <w:spacing w:before="200"/>
      </w:pPr>
      <w:r>
        <w:rPr>
          <w:b/>
          <w:color w:val="2B5F8E"/>
          <w:sz w:val="23"/>
        </w:rPr>
        <w:t>2 · Scope</w:t>
      </w:r>
    </w:p>
    <w:p>
      <w:r>
        <w:t>This work package covers both pivotal Phase 3 studies and the cardiovascular sub-study. It is the largest commitment in the program at $68,500,000 — 73% of the total Meridian contract — and the one whose failure cannot be recovered inside the program's schedule.</w:t>
      </w:r>
    </w:p>
    <w:p>
      <w:r>
        <w:t>Scale changes what matters. At Phase 2 the risk is that the study answers the wrong question; at Phase 3 the risk is that it answers the right question badly, across hundreds of sites, in a way that is not visible until database lock. The monitoring model, the query cycle and the reconciliation cadence in this package exist to make problems visible early rather than at the end.</w:t>
      </w:r>
    </w:p>
    <w:p>
      <w:r>
        <w:t>In scope. Site identification and qualification for Sponsor approval across both pivotals and the sub-study; activation and initiation; risk-based monitoring; investigational product shipment and accountability; data management and query resolution; safety data collection and processing for onward Sponsor reporting; trial master file maintenance with Sponsor right of access; and a clinical study report for each study.</w:t>
      </w:r>
    </w:p>
    <w:p>
      <w:r>
        <w:t>Out of scope. IND maintenance and submissions. Safety reporting to FDA and investigators. Protocol interpretation. NDA authorship and submission, which is the Sponsor's. Central laboratory and clinical supply, contracted separately.</w:t>
      </w:r>
    </w:p>
    <w:p>
      <w:r>
        <w:t>Anything not described in this section is out of scope, and anything not listed in the transfer schedule is not transferred.</w:t>
      </w:r>
    </w:p>
    <w:p>
      <w:pPr>
        <w:spacing w:before="200"/>
      </w:pPr>
      <w:r>
        <w:rPr>
          <w:b/>
          <w:color w:val="2B5F8E"/>
          <w:sz w:val="23"/>
        </w:rPr>
        <w:t>3 · Approach</w:t>
      </w:r>
    </w:p>
    <w:p>
      <w:r>
        <w:t>The work package is executed against the transfer schedule in section 11 rather than against custom. The CRO performs what has been transferred, the Sponsor performs what it retained, and where an obligation is shared the split is stated rather than assumed.</w:t>
      </w:r>
    </w:p>
    <w:p>
      <w:r>
        <w:t>Reporting is designed so that a problem is visible before it is expensive. Enrollment, monitoring completion and query age are reported on a fixed cadence, and protocol deviations are reported as a compliance obligation rather than a service level — the distinction matters, because a service level invites a tolerance band and a compliance obligation does not.</w:t>
      </w:r>
    </w:p>
    <w:p>
      <w:r>
        <w:t>SAE reconciliation is the one measure with no tolerance at all. Completeness is 100% or it is a finding. A reconciliation that is 98% complete is not 98% good; it means two percent of the safety picture is unaccounted for, and neither party can say which two percent.</w:t>
      </w:r>
    </w:p>
    <w:p>
      <w:r>
        <w:t>Audit and inspection readiness is continuous rather than prepared for. The Sponsor retains right of access to trial records at any time, without notice, and the CRO maintains them accordingly.</w:t>
      </w:r>
    </w:p>
    <w:p>
      <w:pPr>
        <w:spacing w:before="200"/>
      </w:pPr>
      <w:r>
        <w:rPr>
          <w:b/>
          <w:color w:val="2B5F8E"/>
          <w:sz w:val="23"/>
        </w:rPr>
        <w:t>4 · Delivery Phases</w:t>
      </w:r>
    </w:p>
    <w:p>
      <w:pPr>
        <w:spacing w:before="160"/>
      </w:pPr>
      <w:r>
        <w:rPr>
          <w:b/>
          <w:color w:val="12304A"/>
          <w:sz w:val="21"/>
        </w:rPr>
        <w:t>Phase A — Start-up across both pivotals</w:t>
      </w:r>
    </w:p>
    <w:p>
      <w:r>
        <w:t>Sites qualified and activated at scale, with the sub-study's additional requirements handled at qualification rather than after.</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Identify and qualify sites for both pivotal studies.</w:t>
            </w:r>
          </w:p>
        </w:tc>
      </w:tr>
      <w:tr>
        <w:tc>
          <w:tcPr>
            <w:tcW w:type="dxa" w:w="9648"/>
          </w:tcPr>
          <w:p>
            <w:r>
              <w:rPr>
                <w:sz w:val="17"/>
              </w:rPr>
              <w:t>Qualify the subset carrying the cardiovascular sub-study.</w:t>
            </w:r>
          </w:p>
        </w:tc>
      </w:tr>
      <w:tr>
        <w:tc>
          <w:tcPr>
            <w:tcW w:type="dxa" w:w="9648"/>
          </w:tcPr>
          <w:p>
            <w:r>
              <w:rPr>
                <w:sz w:val="17"/>
              </w:rPr>
              <w:t>Submit site lists for Sponsor approval and execute agreements.</w:t>
            </w:r>
          </w:p>
        </w:tc>
      </w:tr>
      <w:tr>
        <w:tc>
          <w:tcPr>
            <w:tcW w:type="dxa" w:w="9648"/>
          </w:tcPr>
          <w:p>
            <w:r>
              <w:rPr>
                <w:sz w:val="17"/>
              </w:rPr>
              <w:t>Complete initiation visits and document training per study.</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D-P1</w:t>
            </w:r>
          </w:p>
        </w:tc>
        <w:tc>
          <w:tcPr>
            <w:tcW w:type="dxa" w:w="2412"/>
          </w:tcPr>
          <w:p>
            <w:r>
              <w:rPr>
                <w:sz w:val="17"/>
              </w:rPr>
              <w:t>Approved site lists and activation record</w:t>
            </w:r>
          </w:p>
        </w:tc>
        <w:tc>
          <w:tcPr>
            <w:tcW w:type="dxa" w:w="2412"/>
          </w:tcPr>
          <w:p>
            <w:r>
              <w:rPr>
                <w:sz w:val="17"/>
              </w:rPr>
              <w:t>Sites qualified for both pivotals and for the CV sub-study, final lists approved in writing by the Sponsor, initiation documented per site and per study.</w:t>
            </w:r>
          </w:p>
        </w:tc>
        <w:tc>
          <w:tcPr>
            <w:tcW w:type="dxa" w:w="2412"/>
          </w:tcPr>
          <w:p>
            <w:r>
              <w:rPr>
                <w:sz w:val="17"/>
              </w:rPr>
              <w:t>10 BD</w:t>
            </w:r>
          </w:p>
        </w:tc>
      </w:tr>
    </w:tbl>
    <w:p/>
    <w:p>
      <w:pPr>
        <w:spacing w:before="160"/>
      </w:pPr>
      <w:r>
        <w:rPr>
          <w:b/>
          <w:color w:val="12304A"/>
          <w:sz w:val="21"/>
        </w:rPr>
        <w:t>Phase B — Conduct at scale</w:t>
      </w:r>
    </w:p>
    <w:p>
      <w:r>
        <w:t>Both studies and the sub-study run concurrently, reported so that a problem in one is visible without reading three reports.</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Monitor under the agreed risk-based model across all studies.</w:t>
            </w:r>
          </w:p>
        </w:tc>
      </w:tr>
      <w:tr>
        <w:tc>
          <w:tcPr>
            <w:tcW w:type="dxa" w:w="9648"/>
          </w:tcPr>
          <w:p>
            <w:r>
              <w:rPr>
                <w:sz w:val="17"/>
              </w:rPr>
              <w:t>Report enrollment, monitoring and query status per study, not merged.</w:t>
            </w:r>
          </w:p>
        </w:tc>
      </w:tr>
      <w:tr>
        <w:tc>
          <w:tcPr>
            <w:tcW w:type="dxa" w:w="9648"/>
          </w:tcPr>
          <w:p>
            <w:r>
              <w:rPr>
                <w:sz w:val="17"/>
              </w:rPr>
              <w:t>Maintain investigational product accountability at every site.</w:t>
            </w:r>
          </w:p>
        </w:tc>
      </w:tr>
      <w:tr>
        <w:tc>
          <w:tcPr>
            <w:tcW w:type="dxa" w:w="9648"/>
          </w:tcPr>
          <w:p>
            <w:r>
              <w:rPr>
                <w:sz w:val="17"/>
              </w:rPr>
              <w:t>Collect and process safety data for onward Sponsor reporting.</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D-P2</w:t>
            </w:r>
          </w:p>
        </w:tc>
        <w:tc>
          <w:tcPr>
            <w:tcW w:type="dxa" w:w="2412"/>
          </w:tcPr>
          <w:p>
            <w:r>
              <w:rPr>
                <w:sz w:val="17"/>
              </w:rPr>
              <w:t>Per-study status reporting</w:t>
            </w:r>
          </w:p>
        </w:tc>
        <w:tc>
          <w:tcPr>
            <w:tcW w:type="dxa" w:w="2412"/>
          </w:tcPr>
          <w:p>
            <w:r>
              <w:rPr>
                <w:sz w:val="17"/>
              </w:rPr>
              <w:t>Enrollment against plan, monitoring completion, open queries by age and protocol deviations, reported per study rather than merged — a combined figure hides a failing study inside a healthy one.</w:t>
            </w:r>
          </w:p>
        </w:tc>
        <w:tc>
          <w:tcPr>
            <w:tcW w:type="dxa" w:w="2412"/>
          </w:tcPr>
          <w:p>
            <w:r>
              <w:rPr>
                <w:sz w:val="17"/>
              </w:rPr>
              <w:t>5 BD</w:t>
            </w:r>
          </w:p>
        </w:tc>
      </w:tr>
      <w:tr>
        <w:tc>
          <w:tcPr>
            <w:tcW w:type="dxa" w:w="2412"/>
          </w:tcPr>
          <w:p>
            <w:r>
              <w:rPr>
                <w:sz w:val="17"/>
              </w:rPr>
              <w:t>D-P3</w:t>
            </w:r>
          </w:p>
        </w:tc>
        <w:tc>
          <w:tcPr>
            <w:tcW w:type="dxa" w:w="2412"/>
          </w:tcPr>
          <w:p>
            <w:r>
              <w:rPr>
                <w:sz w:val="17"/>
              </w:rPr>
              <w:t>SAE reconciliation, all studies</w:t>
            </w:r>
          </w:p>
        </w:tc>
        <w:tc>
          <w:tcPr>
            <w:tcW w:type="dxa" w:w="2412"/>
          </w:tcPr>
          <w:p>
            <w:r>
              <w:rPr>
                <w:sz w:val="17"/>
              </w:rPr>
              <w:t>Reconciliation between clinical and safety databases for each study. ⚠ Completeness is 100% or it is a finding.</w:t>
            </w:r>
          </w:p>
        </w:tc>
        <w:tc>
          <w:tcPr>
            <w:tcW w:type="dxa" w:w="2412"/>
          </w:tcPr>
          <w:p>
            <w:r>
              <w:rPr>
                <w:sz w:val="17"/>
              </w:rPr>
              <w:t>5 BD</w:t>
            </w:r>
          </w:p>
        </w:tc>
      </w:tr>
    </w:tbl>
    <w:p/>
    <w:p>
      <w:pPr>
        <w:spacing w:before="160"/>
      </w:pPr>
      <w:r>
        <w:rPr>
          <w:b/>
          <w:color w:val="12304A"/>
          <w:sz w:val="21"/>
        </w:rPr>
        <w:t>Phase C — Lock and reporting</w:t>
      </w:r>
    </w:p>
    <w:p>
      <w:r>
        <w:t>Each study locked and reported to a standard the NDA can be built on.</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Resolve queries and freeze each database.</w:t>
            </w:r>
          </w:p>
        </w:tc>
      </w:tr>
      <w:tr>
        <w:tc>
          <w:tcPr>
            <w:tcW w:type="dxa" w:w="9648"/>
          </w:tcPr>
          <w:p>
            <w:r>
              <w:rPr>
                <w:sz w:val="17"/>
              </w:rPr>
              <w:t>Complete final SAE reconciliation per study before lock.</w:t>
            </w:r>
          </w:p>
        </w:tc>
      </w:tr>
      <w:tr>
        <w:tc>
          <w:tcPr>
            <w:tcW w:type="dxa" w:w="9648"/>
          </w:tcPr>
          <w:p>
            <w:r>
              <w:rPr>
                <w:sz w:val="17"/>
              </w:rPr>
              <w:t>Lock each database with Sponsor concurrence.</w:t>
            </w:r>
          </w:p>
        </w:tc>
      </w:tr>
      <w:tr>
        <w:tc>
          <w:tcPr>
            <w:tcW w:type="dxa" w:w="9648"/>
          </w:tcPr>
          <w:p>
            <w:r>
              <w:rPr>
                <w:sz w:val="17"/>
              </w:rPr>
              <w:t>Deliver a clinical study report for each study and the sub-study.</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D-P4</w:t>
            </w:r>
          </w:p>
        </w:tc>
        <w:tc>
          <w:tcPr>
            <w:tcW w:type="dxa" w:w="2412"/>
          </w:tcPr>
          <w:p>
            <w:r>
              <w:rPr>
                <w:sz w:val="17"/>
              </w:rPr>
              <w:t>Database lock, each study</w:t>
            </w:r>
          </w:p>
        </w:tc>
        <w:tc>
          <w:tcPr>
            <w:tcW w:type="dxa" w:w="2412"/>
          </w:tcPr>
          <w:p>
            <w:r>
              <w:rPr>
                <w:sz w:val="17"/>
              </w:rPr>
              <w:t>Queries resolved or dispositioned, final SAE reconciliation complete, lock executed with written Sponsor concurrence, for each study independently.</w:t>
            </w:r>
          </w:p>
        </w:tc>
        <w:tc>
          <w:tcPr>
            <w:tcW w:type="dxa" w:w="2412"/>
          </w:tcPr>
          <w:p>
            <w:r>
              <w:rPr>
                <w:sz w:val="17"/>
              </w:rPr>
              <w:t>10 BD</w:t>
            </w:r>
          </w:p>
        </w:tc>
      </w:tr>
      <w:tr>
        <w:tc>
          <w:tcPr>
            <w:tcW w:type="dxa" w:w="2412"/>
          </w:tcPr>
          <w:p>
            <w:r>
              <w:rPr>
                <w:sz w:val="17"/>
              </w:rPr>
              <w:t>D-P5</w:t>
            </w:r>
          </w:p>
        </w:tc>
        <w:tc>
          <w:tcPr>
            <w:tcW w:type="dxa" w:w="2412"/>
          </w:tcPr>
          <w:p>
            <w:r>
              <w:rPr>
                <w:sz w:val="17"/>
              </w:rPr>
              <w:t>Clinical study reports</w:t>
            </w:r>
          </w:p>
        </w:tc>
        <w:tc>
          <w:tcPr>
            <w:tcW w:type="dxa" w:w="2412"/>
          </w:tcPr>
          <w:p>
            <w:r>
              <w:rPr>
                <w:sz w:val="17"/>
              </w:rPr>
              <w:t>A CSR for each pivotal and for the CV sub-study, each consistent with its locked database and suitable for inclusion in the NDA.</w:t>
            </w:r>
          </w:p>
        </w:tc>
        <w:tc>
          <w:tcPr>
            <w:tcW w:type="dxa" w:w="2412"/>
          </w:tcPr>
          <w:p>
            <w:r>
              <w:rPr>
                <w:sz w:val="17"/>
              </w:rPr>
              <w:t>20 BD</w:t>
            </w:r>
          </w:p>
        </w:tc>
      </w:tr>
    </w:tbl>
    <w:p/>
    <w:p>
      <w:pPr>
        <w:spacing w:before="200"/>
      </w:pPr>
      <w:r>
        <w:rPr>
          <w:b/>
          <w:color w:val="2B5F8E"/>
          <w:sz w:val="23"/>
        </w:rPr>
        <w:t>5 · Acceptance</w:t>
      </w:r>
    </w:p>
    <w:p>
      <w:r>
        <w:t>Each Deliverable is submitted with the evidence its acceptance criteria call for. The Sponsor has the stated Review Period to accept, or to reject in writing with specific, criterion-by-criterion reasons. Silence for the whole Review Period is acceptance — deemed acceptance.</w:t>
      </w:r>
    </w:p>
    <w:p>
      <w:r>
        <w:t>⚠⚠ Deemed acceptance applies to deliverable documents only. It does not apply to any obligation the transfer schedule retains for the Sponsor, and it does not apply to SAE reconciliation: completeness is 100% or it is a finding, which leaves no tolerance band for silence to run against. Protocol deviation reporting is likewise a compliance obligation rather than a service level, and does not become acceptable by the passage of a review period.</w:t>
      </w:r>
    </w:p>
    <w:p>
      <w:pPr>
        <w:spacing w:before="200"/>
      </w:pPr>
      <w:r>
        <w:rPr>
          <w:b/>
          <w:color w:val="2B5F8E"/>
          <w:sz w:val="23"/>
        </w:rPr>
        <w:t>6 · Timeline and Resourcing</w:t>
      </w:r>
    </w:p>
    <w:p>
      <w:r>
        <w:t>Work packages are released by notice at the gate opening their stage, and work is staged to tranches: an unreleased tranche is not authority to proceed. The table below shows who is involved on each side. Sponsor effort is not charged under this Statement of Work; it is shown because the CRO's obligations depend on it, and because several of these roles hold duties the transfer schedule explicitly retains.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Role</w:t>
            </w:r>
          </w:p>
        </w:tc>
        <w:tc>
          <w:tcPr>
            <w:tcW w:type="dxa" w:w="2412"/>
          </w:tcPr>
          <w:p>
            <w:r>
              <w:rPr>
                <w:b/>
                <w:sz w:val="17"/>
              </w:rPr>
              <w:t>Responsibilities</w:t>
            </w:r>
          </w:p>
        </w:tc>
        <w:tc>
          <w:tcPr>
            <w:tcW w:type="dxa" w:w="2412"/>
          </w:tcPr>
          <w:p>
            <w:r>
              <w:rPr>
                <w:b/>
                <w:sz w:val="17"/>
              </w:rPr>
              <w:t>Effort</w:t>
            </w:r>
          </w:p>
        </w:tc>
        <w:tc>
          <w:tcPr>
            <w:tcW w:type="dxa" w:w="2412"/>
          </w:tcPr>
          <w:p>
            <w:r>
              <w:rPr>
                <w:b/>
                <w:sz w:val="17"/>
              </w:rPr>
              <w:t>Organization</w:t>
            </w:r>
          </w:p>
        </w:tc>
      </w:tr>
      <w:tr>
        <w:tc>
          <w:tcPr>
            <w:tcW w:type="dxa" w:w="2412"/>
          </w:tcPr>
          <w:p>
            <w:r>
              <w:rPr>
                <w:sz w:val="17"/>
              </w:rPr>
              <w:t>Program Director</w:t>
            </w:r>
          </w:p>
        </w:tc>
        <w:tc>
          <w:tcPr>
            <w:tcW w:type="dxa" w:w="2412"/>
          </w:tcPr>
          <w:p>
            <w:r>
              <w:rPr>
                <w:sz w:val="17"/>
              </w:rPr>
              <w:t>Chairs the Development Committee; owns the stage gate and the tranche release</w:t>
            </w:r>
          </w:p>
        </w:tc>
        <w:tc>
          <w:tcPr>
            <w:tcW w:type="dxa" w:w="2412"/>
          </w:tcPr>
          <w:p>
            <w:r>
              <w:rPr>
                <w:sz w:val="17"/>
              </w:rPr>
              <w:t>Per resource plan</w:t>
            </w:r>
          </w:p>
        </w:tc>
        <w:tc>
          <w:tcPr>
            <w:tcW w:type="dxa" w:w="2412"/>
          </w:tcPr>
          <w:p>
            <w:r>
              <w:rPr>
                <w:sz w:val="17"/>
              </w:rPr>
              <w:t>Sponsor — C. Tyrrell</w:t>
            </w:r>
          </w:p>
        </w:tc>
      </w:tr>
      <w:tr>
        <w:tc>
          <w:tcPr>
            <w:tcW w:type="dxa" w:w="2412"/>
          </w:tcPr>
          <w:p>
            <w:r>
              <w:rPr>
                <w:sz w:val="17"/>
              </w:rPr>
              <w:t>Chief Medical Officer</w:t>
            </w:r>
          </w:p>
        </w:tc>
        <w:tc>
          <w:tcPr>
            <w:tcW w:type="dxa" w:w="2412"/>
          </w:tcPr>
          <w:p>
            <w:r>
              <w:rPr>
                <w:sz w:val="17"/>
              </w:rPr>
              <w:t>Executive Sponsor; medical monitor authority and safety decisions</w:t>
            </w:r>
          </w:p>
        </w:tc>
        <w:tc>
          <w:tcPr>
            <w:tcW w:type="dxa" w:w="2412"/>
          </w:tcPr>
          <w:p>
            <w:r>
              <w:rPr>
                <w:sz w:val="17"/>
              </w:rPr>
              <w:t>Per resource plan</w:t>
            </w:r>
          </w:p>
        </w:tc>
        <w:tc>
          <w:tcPr>
            <w:tcW w:type="dxa" w:w="2412"/>
          </w:tcPr>
          <w:p>
            <w:r>
              <w:rPr>
                <w:sz w:val="17"/>
              </w:rPr>
              <w:t>Sponsor — Dr. A. Okoye</w:t>
            </w:r>
          </w:p>
        </w:tc>
      </w:tr>
      <w:tr>
        <w:tc>
          <w:tcPr>
            <w:tcW w:type="dxa" w:w="2412"/>
          </w:tcPr>
          <w:p>
            <w:r>
              <w:rPr>
                <w:sz w:val="17"/>
              </w:rPr>
              <w:t>Clinical Development</w:t>
            </w:r>
          </w:p>
        </w:tc>
        <w:tc>
          <w:tcPr>
            <w:tcW w:type="dxa" w:w="2412"/>
          </w:tcPr>
          <w:p>
            <w:r>
              <w:rPr>
                <w:sz w:val="17"/>
              </w:rPr>
              <w:t>Protocol interpretation — a retained obligation</w:t>
            </w:r>
          </w:p>
        </w:tc>
        <w:tc>
          <w:tcPr>
            <w:tcW w:type="dxa" w:w="2412"/>
          </w:tcPr>
          <w:p>
            <w:r>
              <w:rPr>
                <w:sz w:val="17"/>
              </w:rPr>
              <w:t>Per resource plan</w:t>
            </w:r>
          </w:p>
        </w:tc>
        <w:tc>
          <w:tcPr>
            <w:tcW w:type="dxa" w:w="2412"/>
          </w:tcPr>
          <w:p>
            <w:r>
              <w:rPr>
                <w:sz w:val="17"/>
              </w:rPr>
              <w:t>Sponsor — Dr. S. Aldridge</w:t>
            </w:r>
          </w:p>
        </w:tc>
      </w:tr>
      <w:tr>
        <w:tc>
          <w:tcPr>
            <w:tcW w:type="dxa" w:w="2412"/>
          </w:tcPr>
          <w:p>
            <w:r>
              <w:rPr>
                <w:sz w:val="17"/>
              </w:rPr>
              <w:t>Pharmacovigilance &amp; Drug Safety</w:t>
            </w:r>
          </w:p>
        </w:tc>
        <w:tc>
          <w:tcPr>
            <w:tcW w:type="dxa" w:w="2412"/>
          </w:tcPr>
          <w:p>
            <w:r>
              <w:rPr>
                <w:sz w:val="17"/>
              </w:rPr>
              <w:t>Safety reporting to FDA and investigators — retained under 312.32</w:t>
            </w:r>
          </w:p>
        </w:tc>
        <w:tc>
          <w:tcPr>
            <w:tcW w:type="dxa" w:w="2412"/>
          </w:tcPr>
          <w:p>
            <w:r>
              <w:rPr>
                <w:sz w:val="17"/>
              </w:rPr>
              <w:t>Per resource plan</w:t>
            </w:r>
          </w:p>
        </w:tc>
        <w:tc>
          <w:tcPr>
            <w:tcW w:type="dxa" w:w="2412"/>
          </w:tcPr>
          <w:p>
            <w:r>
              <w:rPr>
                <w:sz w:val="17"/>
              </w:rPr>
              <w:t>Sponsor — Dr. N. Halloran</w:t>
            </w:r>
          </w:p>
        </w:tc>
      </w:tr>
      <w:tr>
        <w:tc>
          <w:tcPr>
            <w:tcW w:type="dxa" w:w="2412"/>
          </w:tcPr>
          <w:p>
            <w:r>
              <w:rPr>
                <w:sz w:val="17"/>
              </w:rPr>
              <w:t>SVP, Regulatory Strategy</w:t>
            </w:r>
          </w:p>
        </w:tc>
        <w:tc>
          <w:tcPr>
            <w:tcW w:type="dxa" w:w="2412"/>
          </w:tcPr>
          <w:p>
            <w:r>
              <w:rPr>
                <w:sz w:val="17"/>
              </w:rPr>
              <w:t>IND maintenance and submissions — retained under 312.31 / 312.33</w:t>
            </w:r>
          </w:p>
        </w:tc>
        <w:tc>
          <w:tcPr>
            <w:tcW w:type="dxa" w:w="2412"/>
          </w:tcPr>
          <w:p>
            <w:r>
              <w:rPr>
                <w:sz w:val="17"/>
              </w:rPr>
              <w:t>Per resource plan</w:t>
            </w:r>
          </w:p>
        </w:tc>
        <w:tc>
          <w:tcPr>
            <w:tcW w:type="dxa" w:w="2412"/>
          </w:tcPr>
          <w:p>
            <w:r>
              <w:rPr>
                <w:sz w:val="17"/>
              </w:rPr>
              <w:t>Sponsor — Dr. P. Raghunathan</w:t>
            </w:r>
          </w:p>
        </w:tc>
      </w:tr>
      <w:tr>
        <w:tc>
          <w:tcPr>
            <w:tcW w:type="dxa" w:w="2412"/>
          </w:tcPr>
          <w:p>
            <w:r>
              <w:rPr>
                <w:sz w:val="17"/>
              </w:rPr>
              <w:t>Chief Quality Officer</w:t>
            </w:r>
          </w:p>
        </w:tc>
        <w:tc>
          <w:tcPr>
            <w:tcW w:type="dxa" w:w="2412"/>
          </w:tcPr>
          <w:p>
            <w:r>
              <w:rPr>
                <w:sz w:val="17"/>
              </w:rPr>
              <w:t>Audit and inspection readiness; Committee observer</w:t>
            </w:r>
          </w:p>
        </w:tc>
        <w:tc>
          <w:tcPr>
            <w:tcW w:type="dxa" w:w="2412"/>
          </w:tcPr>
          <w:p>
            <w:r>
              <w:rPr>
                <w:sz w:val="17"/>
              </w:rPr>
              <w:t>Per resource plan</w:t>
            </w:r>
          </w:p>
        </w:tc>
        <w:tc>
          <w:tcPr>
            <w:tcW w:type="dxa" w:w="2412"/>
          </w:tcPr>
          <w:p>
            <w:r>
              <w:rPr>
                <w:sz w:val="17"/>
              </w:rPr>
              <w:t>Sponsor — Dr. I. Solberg</w:t>
            </w:r>
          </w:p>
        </w:tc>
      </w:tr>
      <w:tr>
        <w:tc>
          <w:tcPr>
            <w:tcW w:type="dxa" w:w="2412"/>
          </w:tcPr>
          <w:p>
            <w:r>
              <w:rPr>
                <w:sz w:val="17"/>
              </w:rPr>
              <w:t>Program Management Office</w:t>
            </w:r>
          </w:p>
        </w:tc>
        <w:tc>
          <w:tcPr>
            <w:tcW w:type="dxa" w:w="2412"/>
          </w:tcPr>
          <w:p>
            <w:r>
              <w:rPr>
                <w:sz w:val="17"/>
              </w:rPr>
              <w:t>Deliverable acceptance tracking and change-order administration</w:t>
            </w:r>
          </w:p>
        </w:tc>
        <w:tc>
          <w:tcPr>
            <w:tcW w:type="dxa" w:w="2412"/>
          </w:tcPr>
          <w:p>
            <w:r>
              <w:rPr>
                <w:sz w:val="17"/>
              </w:rPr>
              <w:t>Per resource plan</w:t>
            </w:r>
          </w:p>
        </w:tc>
        <w:tc>
          <w:tcPr>
            <w:tcW w:type="dxa" w:w="2412"/>
          </w:tcPr>
          <w:p>
            <w:r>
              <w:rPr>
                <w:sz w:val="17"/>
              </w:rPr>
              <w:t>Sponsor — T. Nakashima</w:t>
            </w:r>
          </w:p>
        </w:tc>
      </w:tr>
      <w:tr>
        <w:tc>
          <w:tcPr>
            <w:tcW w:type="dxa" w:w="2412"/>
          </w:tcPr>
          <w:p>
            <w:r>
              <w:rPr>
                <w:sz w:val="17"/>
              </w:rPr>
              <w:t>CRO project lead</w:t>
            </w:r>
          </w:p>
        </w:tc>
        <w:tc>
          <w:tcPr>
            <w:tcW w:type="dxa" w:w="2412"/>
          </w:tcPr>
          <w:p>
            <w:r>
              <w:rPr>
                <w:sz w:val="17"/>
              </w:rPr>
              <w:t>Single point of contact; owns delivery of this work package</w:t>
            </w:r>
          </w:p>
        </w:tc>
        <w:tc>
          <w:tcPr>
            <w:tcW w:type="dxa" w:w="2412"/>
          </w:tcPr>
          <w:p>
            <w:r>
              <w:rPr>
                <w:sz w:val="17"/>
              </w:rPr>
              <w:t>Named on release</w:t>
            </w:r>
          </w:p>
        </w:tc>
        <w:tc>
          <w:tcPr>
            <w:tcW w:type="dxa" w:w="2412"/>
          </w:tcPr>
          <w:p>
            <w:r>
              <w:rPr>
                <w:sz w:val="17"/>
              </w:rPr>
              <w:t>CRO — Meridian</w:t>
            </w:r>
          </w:p>
        </w:tc>
      </w:tr>
      <w:tr>
        <w:tc>
          <w:tcPr>
            <w:tcW w:type="dxa" w:w="2412"/>
          </w:tcPr>
          <w:p>
            <w:r>
              <w:rPr>
                <w:sz w:val="17"/>
              </w:rPr>
              <w:t>CRO clinical operations</w:t>
            </w:r>
          </w:p>
        </w:tc>
        <w:tc>
          <w:tcPr>
            <w:tcW w:type="dxa" w:w="2412"/>
          </w:tcPr>
          <w:p>
            <w:r>
              <w:rPr>
                <w:sz w:val="17"/>
              </w:rPr>
              <w:t>Site management, monitoring and data management</w:t>
            </w:r>
          </w:p>
        </w:tc>
        <w:tc>
          <w:tcPr>
            <w:tcW w:type="dxa" w:w="2412"/>
          </w:tcPr>
          <w:p>
            <w:r>
              <w:rPr>
                <w:sz w:val="17"/>
              </w:rPr>
              <w:t>Named on release</w:t>
            </w:r>
          </w:p>
        </w:tc>
        <w:tc>
          <w:tcPr>
            <w:tcW w:type="dxa" w:w="2412"/>
          </w:tcPr>
          <w:p>
            <w:r>
              <w:rPr>
                <w:sz w:val="17"/>
              </w:rPr>
              <w:t>CRO — Meridian</w:t>
            </w:r>
          </w:p>
        </w:tc>
      </w:tr>
    </w:tbl>
    <w:p/>
    <w:p>
      <w:pPr>
        <w:spacing w:before="200"/>
      </w:pPr>
      <w:r>
        <w:rPr>
          <w:b/>
          <w:color w:val="2B5F8E"/>
          <w:sz w:val="23"/>
        </w:rPr>
        <w:t>7 · Price and Payment</w:t>
      </w:r>
    </w:p>
    <w:p>
      <w:r>
        <w:t>Fixed price of $68,500,000 for this work package, payable against accepted Deliverables. The rate card annexed to the MSA governs change orders.</w:t>
      </w:r>
    </w:p>
    <w:p>
      <w:pPr>
        <w:pStyle w:val="ListBullet"/>
      </w:pPr>
      <w:r>
        <w:t>15% on acceptance of D-P1 — site lists and activation.</w:t>
      </w:r>
    </w:p>
    <w:p>
      <w:pPr>
        <w:pStyle w:val="ListBullet"/>
      </w:pPr>
      <w:r>
        <w:t>45% across the conduct period against accepted D-P2 reporting.</w:t>
      </w:r>
    </w:p>
    <w:p>
      <w:pPr>
        <w:pStyle w:val="ListBullet"/>
      </w:pPr>
      <w:r>
        <w:t>20% on acceptance of D-P4 — database lock, all studies.</w:t>
      </w:r>
    </w:p>
    <w:p>
      <w:pPr>
        <w:pStyle w:val="ListBullet"/>
      </w:pPr>
      <w:r>
        <w:t>20% on acceptance of D-P5 — clinical study reports.</w:t>
      </w:r>
    </w:p>
    <w:p>
      <w:r>
        <w:t>⚠ No payment is contingent on a study outcome, and none is contingent on enrollment rate. Paying for speed at Phase 3 buys enrollment the protocol did not intend.</w:t>
      </w:r>
    </w:p>
    <w:p>
      <w:pPr>
        <w:spacing w:before="200"/>
      </w:pPr>
      <w:r>
        <w:rPr>
          <w:b/>
          <w:color w:val="2B5F8E"/>
          <w:sz w:val="23"/>
        </w:rPr>
        <w:t>8 · Assumptions</w:t>
      </w:r>
    </w:p>
    <w:p>
      <w:r>
        <w:t>The price and the stage schedule rest on the following. Each is stated so that its failure is visible rather than argued about later; where one fails, the consequence is handled under Change Orders.</w:t>
      </w:r>
    </w:p>
    <w:p>
      <w:pPr>
        <w:pStyle w:val="ListBullet"/>
      </w:pPr>
      <w:r>
        <w:t>Both protocols and the sub-study protocol are final before start-up. An amendment after activation is a change order against the rate card.</w:t>
      </w:r>
    </w:p>
    <w:p>
      <w:pPr>
        <w:pStyle w:val="ListBullet"/>
      </w:pPr>
      <w:r>
        <w:t>The Sponsor approves site lists within ten Business Days per study.</w:t>
      </w:r>
    </w:p>
    <w:p>
      <w:pPr>
        <w:pStyle w:val="ListBullet"/>
      </w:pPr>
      <w:r>
        <w:t>Clinical supply and central laboratory services are available per their separate agreements; a shortfall in either is outside the CRO's control and is handled under Change Orders.</w:t>
      </w:r>
    </w:p>
    <w:p>
      <w:pPr>
        <w:pStyle w:val="ListBullet"/>
      </w:pPr>
      <w:r>
        <w:t>The Sponsor's medical monitor is available within one Business Day for safety queries across all studies.</w:t>
      </w:r>
    </w:p>
    <w:p>
      <w:pPr>
        <w:pStyle w:val="ListBullet"/>
      </w:pPr>
      <w:r>
        <w:t>Reporting is per study throughout. The CRO does not merge study data into a single status figure.</w:t>
      </w:r>
    </w:p>
    <w:p>
      <w:pPr>
        <w:pStyle w:val="ListBullet"/>
      </w:pPr>
      <w:r>
        <w:t>The Stage 4 tranche is released. An unreleased tranche is not authority to proceed.</w:t>
      </w:r>
    </w:p>
    <w:p>
      <w:pPr>
        <w:spacing w:before="200"/>
      </w:pPr>
      <w:r>
        <w:rPr>
          <w:b/>
          <w:color w:val="2B5F8E"/>
          <w:sz w:val="23"/>
        </w:rPr>
        <w:t>9 · Change Orders</w:t>
      </w:r>
    </w:p>
    <w:p>
      <w:r>
        <w:t>Either party may propose a change order. The CRO prices it against the rate card annexed to the MSA within ten Business Days, stating the effect on price, on the stage schedule, and on any other Deliverable. No change order takes effect until both parties sign.</w:t>
      </w:r>
    </w:p>
    <w:p>
      <w:r>
        <w:t>⭐ Fixed price does not mean the Sponsor has stopped carrying risk — it means the Sponsor has concentrated its risk in scope definition. The program has approved four change orders totaling $3,100,000 against these work packages, with one further in dispute. That is the model working rather than failing: each one marks a place where the Sponsor's scope moved, and the fixed price made the movement visible and priced. A time-and-materials contract would have absorbed the same changes silently.</w:t>
      </w:r>
    </w:p>
    <w:p>
      <w:r>
        <w:t>⚠ A change that would alter which regulatory obligations are transferred is never a change order. It requires an amended written transfer under 312.52 — the schedule is not a commercial term to be traded.</w:t>
      </w:r>
    </w:p>
    <w:p>
      <w:pPr>
        <w:spacing w:before="200"/>
      </w:pPr>
      <w:r>
        <w:rPr>
          <w:b/>
          <w:color w:val="2B5F8E"/>
          <w:sz w:val="23"/>
        </w:rPr>
        <w:t>10 · Terminology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Review Period</w:t>
            </w:r>
          </w:p>
        </w:tc>
        <w:tc>
          <w:tcPr>
            <w:tcW w:type="dxa" w:w="4824"/>
          </w:tcPr>
          <w:p>
            <w:r>
              <w:rPr>
                <w:sz w:val="17"/>
              </w:rPr>
              <w:t>The period stated against each Deliverable, running from the Sponsor's receipt, during which the Sponsor may reject in writing.</w:t>
            </w:r>
          </w:p>
        </w:tc>
      </w:tr>
      <w:tr>
        <w:tc>
          <w:tcPr>
            <w:tcW w:type="dxa" w:w="4824"/>
          </w:tcPr>
          <w:p>
            <w:r>
              <w:rPr>
                <w:sz w:val="17"/>
              </w:rPr>
              <w:t>Deemed acceptance</w:t>
            </w:r>
          </w:p>
        </w:tc>
        <w:tc>
          <w:tcPr>
            <w:tcW w:type="dxa" w:w="4824"/>
          </w:tcPr>
          <w:p>
            <w:r>
              <w:rPr>
                <w:sz w:val="17"/>
              </w:rPr>
              <w:t>Acceptance arising from the expiry of the Review Period without written rejection. Applies to documents only — see section 5.</w:t>
            </w:r>
          </w:p>
        </w:tc>
      </w:tr>
      <w:tr>
        <w:tc>
          <w:tcPr>
            <w:tcW w:type="dxa" w:w="4824"/>
          </w:tcPr>
          <w:p>
            <w:r>
              <w:rPr>
                <w:sz w:val="17"/>
              </w:rPr>
              <w:t>Transferred obligation</w:t>
            </w:r>
          </w:p>
        </w:tc>
        <w:tc>
          <w:tcPr>
            <w:tcW w:type="dxa" w:w="4824"/>
          </w:tcPr>
          <w:p>
            <w:r>
              <w:rPr>
                <w:sz w:val="17"/>
              </w:rPr>
              <w:t>A regulatory duty moved to the CRO by written transfer under 21 CFR 312.52. Anything not so listed is retained by the Sponsor.</w:t>
            </w:r>
          </w:p>
        </w:tc>
      </w:tr>
      <w:tr>
        <w:tc>
          <w:tcPr>
            <w:tcW w:type="dxa" w:w="4824"/>
          </w:tcPr>
          <w:p>
            <w:r>
              <w:rPr>
                <w:sz w:val="17"/>
              </w:rPr>
              <w:t>Work package</w:t>
            </w:r>
          </w:p>
        </w:tc>
        <w:tc>
          <w:tcPr>
            <w:tcW w:type="dxa" w:w="4824"/>
          </w:tcPr>
          <w:p>
            <w:r>
              <w:rPr>
                <w:sz w:val="17"/>
              </w:rPr>
              <w:t>One of three fixed-price scopes under the MSA, released by notice at the gate opening its stage.</w:t>
            </w:r>
          </w:p>
        </w:tc>
      </w:tr>
      <w:tr>
        <w:tc>
          <w:tcPr>
            <w:tcW w:type="dxa" w:w="4824"/>
          </w:tcPr>
          <w:p>
            <w:r>
              <w:rPr>
                <w:sz w:val="17"/>
              </w:rPr>
              <w:t>Tranche release</w:t>
            </w:r>
          </w:p>
        </w:tc>
        <w:tc>
          <w:tcPr>
            <w:tcW w:type="dxa" w:w="4824"/>
          </w:tcPr>
          <w:p>
            <w:r>
              <w:rPr>
                <w:sz w:val="17"/>
              </w:rPr>
              <w:t>The Sponsor's release of funding authority at a gate. A work package is not authorized until its tranche is released.</w:t>
            </w:r>
          </w:p>
        </w:tc>
      </w:tr>
    </w:tbl>
    <w:p/>
    <w:p>
      <w:pPr>
        <w:spacing w:before="200"/>
      </w:pPr>
      <w:r>
        <w:rPr>
          <w:b/>
          <w:color w:val="2B5F8E"/>
          <w:sz w:val="23"/>
        </w:rPr>
        <w:t>11 · Transfer of Regulatory Obligations (21 CFR 312.52)</w:t>
      </w:r>
    </w:p>
    <w:p>
      <w:r>
        <w:t>This Statement of Work is accompanied by a written transfer of obligations under 21 CFR 312.52. The schedule below states which duties moved and which did not.</w:t>
      </w:r>
    </w:p>
    <w:p>
      <w:r>
        <w:t>⚠ The default is retention. An obligation not written down is not transferred — however clearly both parties believed otherwise, and however competently the CRO has been performing it. That inverts ordinary commercial intuition, where an ambiguity is a negotiation whose answer depends on the contract's construction. Here the answer is fixed in advance and it is always the same: silence means the Sponsor kept it.</w:t>
      </w:r>
    </w:p>
    <w:p>
      <w:r>
        <w:t>The corollary matters equally. Under 312.52(b) a CRO that assumes an obligation becomes subject to the same regulatory action as a Sponsor for failing it. Transfer is real; it is simply not implicit, and it is not a way of making a duty disappear.</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Obligation</w:t>
            </w:r>
          </w:p>
        </w:tc>
        <w:tc>
          <w:tcPr>
            <w:tcW w:type="dxa" w:w="2412"/>
          </w:tcPr>
          <w:p>
            <w:r>
              <w:rPr>
                <w:b/>
                <w:sz w:val="17"/>
              </w:rPr>
              <w:t>Citation</w:t>
            </w:r>
          </w:p>
        </w:tc>
        <w:tc>
          <w:tcPr>
            <w:tcW w:type="dxa" w:w="2412"/>
          </w:tcPr>
          <w:p>
            <w:r>
              <w:rPr>
                <w:b/>
                <w:sz w:val="17"/>
              </w:rPr>
              <w:t>Position</w:t>
            </w:r>
          </w:p>
        </w:tc>
        <w:tc>
          <w:tcPr>
            <w:tcW w:type="dxa" w:w="2412"/>
          </w:tcPr>
          <w:p>
            <w:r>
              <w:rPr>
                <w:b/>
                <w:sz w:val="17"/>
              </w:rPr>
              <w:t>Note</w:t>
            </w:r>
          </w:p>
        </w:tc>
      </w:tr>
      <w:tr>
        <w:tc>
          <w:tcPr>
            <w:tcW w:type="dxa" w:w="2412"/>
          </w:tcPr>
          <w:p>
            <w:r>
              <w:rPr>
                <w:sz w:val="17"/>
              </w:rPr>
              <w:t>Selecting qualified investigators</w:t>
            </w:r>
          </w:p>
        </w:tc>
        <w:tc>
          <w:tcPr>
            <w:tcW w:type="dxa" w:w="2412"/>
          </w:tcPr>
          <w:p>
            <w:r>
              <w:rPr>
                <w:sz w:val="17"/>
              </w:rPr>
              <w:t>312.53</w:t>
            </w:r>
          </w:p>
        </w:tc>
        <w:tc>
          <w:tcPr>
            <w:tcW w:type="dxa" w:w="2412"/>
          </w:tcPr>
          <w:p>
            <w:r>
              <w:rPr>
                <w:sz w:val="17"/>
              </w:rPr>
              <w:t>Transferred</w:t>
            </w:r>
          </w:p>
        </w:tc>
        <w:tc>
          <w:tcPr>
            <w:tcW w:type="dxa" w:w="2412"/>
          </w:tcPr>
          <w:p>
            <w:r>
              <w:rPr>
                <w:sz w:val="17"/>
              </w:rPr>
              <w:t>CRO identifies and qualifies; Sponsor approves the final site list.</w:t>
            </w:r>
          </w:p>
        </w:tc>
      </w:tr>
      <w:tr>
        <w:tc>
          <w:tcPr>
            <w:tcW w:type="dxa" w:w="2412"/>
          </w:tcPr>
          <w:p>
            <w:r>
              <w:rPr>
                <w:sz w:val="17"/>
              </w:rPr>
              <w:t>Shipping investigational product to sites</w:t>
            </w:r>
          </w:p>
        </w:tc>
        <w:tc>
          <w:tcPr>
            <w:tcW w:type="dxa" w:w="2412"/>
          </w:tcPr>
          <w:p>
            <w:r>
              <w:rPr>
                <w:sz w:val="17"/>
              </w:rPr>
              <w:t>312.59</w:t>
            </w:r>
          </w:p>
        </w:tc>
        <w:tc>
          <w:tcPr>
            <w:tcW w:type="dxa" w:w="2412"/>
          </w:tcPr>
          <w:p>
            <w:r>
              <w:rPr>
                <w:sz w:val="17"/>
              </w:rPr>
              <w:t>Transferred</w:t>
            </w:r>
          </w:p>
        </w:tc>
        <w:tc>
          <w:tcPr>
            <w:tcW w:type="dxa" w:w="2412"/>
          </w:tcPr>
          <w:p>
            <w:r>
              <w:rPr>
                <w:sz w:val="17"/>
              </w:rPr>
              <w:t>Including accountability records and return of unused supply.</w:t>
            </w:r>
          </w:p>
        </w:tc>
      </w:tr>
      <w:tr>
        <w:tc>
          <w:tcPr>
            <w:tcW w:type="dxa" w:w="2412"/>
          </w:tcPr>
          <w:p>
            <w:r>
              <w:rPr>
                <w:sz w:val="17"/>
              </w:rPr>
              <w:t>Monitoring the investigation</w:t>
            </w:r>
          </w:p>
        </w:tc>
        <w:tc>
          <w:tcPr>
            <w:tcW w:type="dxa" w:w="2412"/>
          </w:tcPr>
          <w:p>
            <w:r>
              <w:rPr>
                <w:sz w:val="17"/>
              </w:rPr>
              <w:t>312.56</w:t>
            </w:r>
          </w:p>
        </w:tc>
        <w:tc>
          <w:tcPr>
            <w:tcW w:type="dxa" w:w="2412"/>
          </w:tcPr>
          <w:p>
            <w:r>
              <w:rPr>
                <w:sz w:val="17"/>
              </w:rPr>
              <w:t>Transferred</w:t>
            </w:r>
          </w:p>
        </w:tc>
        <w:tc>
          <w:tcPr>
            <w:tcW w:type="dxa" w:w="2412"/>
          </w:tcPr>
          <w:p>
            <w:r>
              <w:rPr>
                <w:sz w:val="17"/>
              </w:rPr>
              <w:t>Under the risk-based model agreed with the Sponsor.</w:t>
            </w:r>
          </w:p>
        </w:tc>
      </w:tr>
      <w:tr>
        <w:tc>
          <w:tcPr>
            <w:tcW w:type="dxa" w:w="2412"/>
          </w:tcPr>
          <w:p>
            <w:r>
              <w:rPr>
                <w:sz w:val="17"/>
              </w:rPr>
              <w:t>Maintaining trial records</w:t>
            </w:r>
          </w:p>
        </w:tc>
        <w:tc>
          <w:tcPr>
            <w:tcW w:type="dxa" w:w="2412"/>
          </w:tcPr>
          <w:p>
            <w:r>
              <w:rPr>
                <w:sz w:val="17"/>
              </w:rPr>
              <w:t>312.57</w:t>
            </w:r>
          </w:p>
        </w:tc>
        <w:tc>
          <w:tcPr>
            <w:tcW w:type="dxa" w:w="2412"/>
          </w:tcPr>
          <w:p>
            <w:r>
              <w:rPr>
                <w:sz w:val="17"/>
              </w:rPr>
              <w:t>Transferred</w:t>
            </w:r>
          </w:p>
        </w:tc>
        <w:tc>
          <w:tcPr>
            <w:tcW w:type="dxa" w:w="2412"/>
          </w:tcPr>
          <w:p>
            <w:r>
              <w:rPr>
                <w:sz w:val="17"/>
              </w:rPr>
              <w:t>Sponsor retains right of access at any time, without notice.</w:t>
            </w:r>
          </w:p>
        </w:tc>
      </w:tr>
      <w:tr>
        <w:tc>
          <w:tcPr>
            <w:tcW w:type="dxa" w:w="2412"/>
          </w:tcPr>
          <w:p>
            <w:r>
              <w:rPr>
                <w:sz w:val="17"/>
              </w:rPr>
              <w:t>Conducting the investigation per protocol</w:t>
            </w:r>
          </w:p>
        </w:tc>
        <w:tc>
          <w:tcPr>
            <w:tcW w:type="dxa" w:w="2412"/>
          </w:tcPr>
          <w:p>
            <w:r>
              <w:rPr>
                <w:sz w:val="17"/>
              </w:rPr>
              <w:t>312.56</w:t>
            </w:r>
          </w:p>
        </w:tc>
        <w:tc>
          <w:tcPr>
            <w:tcW w:type="dxa" w:w="2412"/>
          </w:tcPr>
          <w:p>
            <w:r>
              <w:rPr>
                <w:sz w:val="17"/>
              </w:rPr>
              <w:t>Shared</w:t>
            </w:r>
          </w:p>
        </w:tc>
        <w:tc>
          <w:tcPr>
            <w:tcW w:type="dxa" w:w="2412"/>
          </w:tcPr>
          <w:p>
            <w:r>
              <w:rPr>
                <w:sz w:val="17"/>
              </w:rPr>
              <w:t>CRO executes; Sponsor retains protocol interpretation.</w:t>
            </w:r>
          </w:p>
        </w:tc>
      </w:tr>
      <w:tr>
        <w:tc>
          <w:tcPr>
            <w:tcW w:type="dxa" w:w="2412"/>
          </w:tcPr>
          <w:p>
            <w:r>
              <w:rPr>
                <w:sz w:val="17"/>
              </w:rPr>
              <w:t>IND maintenance and submissions</w:t>
            </w:r>
          </w:p>
        </w:tc>
        <w:tc>
          <w:tcPr>
            <w:tcW w:type="dxa" w:w="2412"/>
          </w:tcPr>
          <w:p>
            <w:r>
              <w:rPr>
                <w:sz w:val="17"/>
              </w:rPr>
              <w:t>312.31 / 312.33</w:t>
            </w:r>
          </w:p>
        </w:tc>
        <w:tc>
          <w:tcPr>
            <w:tcW w:type="dxa" w:w="2412"/>
          </w:tcPr>
          <w:p>
            <w:r>
              <w:rPr>
                <w:sz w:val="17"/>
              </w:rPr>
              <w:t>Retained</w:t>
            </w:r>
          </w:p>
        </w:tc>
        <w:tc>
          <w:tcPr>
            <w:tcW w:type="dxa" w:w="2412"/>
          </w:tcPr>
          <w:p>
            <w:r>
              <w:rPr>
                <w:sz w:val="17"/>
              </w:rPr>
              <w:t>The Sponsor is the IND holder. Not transferred.</w:t>
            </w:r>
          </w:p>
        </w:tc>
      </w:tr>
      <w:tr>
        <w:tc>
          <w:tcPr>
            <w:tcW w:type="dxa" w:w="2412"/>
          </w:tcPr>
          <w:p>
            <w:r>
              <w:rPr>
                <w:sz w:val="17"/>
              </w:rPr>
              <w:t>Safety reporting to FDA and investigators</w:t>
            </w:r>
          </w:p>
        </w:tc>
        <w:tc>
          <w:tcPr>
            <w:tcW w:type="dxa" w:w="2412"/>
          </w:tcPr>
          <w:p>
            <w:r>
              <w:rPr>
                <w:sz w:val="17"/>
              </w:rPr>
              <w:t>312.32</w:t>
            </w:r>
          </w:p>
        </w:tc>
        <w:tc>
          <w:tcPr>
            <w:tcW w:type="dxa" w:w="2412"/>
          </w:tcPr>
          <w:p>
            <w:r>
              <w:rPr>
                <w:sz w:val="17"/>
              </w:rPr>
              <w:t>Retained</w:t>
            </w:r>
          </w:p>
        </w:tc>
        <w:tc>
          <w:tcPr>
            <w:tcW w:type="dxa" w:w="2412"/>
          </w:tcPr>
          <w:p>
            <w:r>
              <w:rPr>
                <w:sz w:val="17"/>
              </w:rPr>
              <w:t>CRO collects and processes; the reporting obligation stays with the Sponsor.</w:t>
            </w:r>
          </w:p>
        </w:tc>
      </w:tr>
      <w:tr>
        <w:tc>
          <w:tcPr>
            <w:tcW w:type="dxa" w:w="2412"/>
          </w:tcPr>
          <w:p>
            <w:r>
              <w:rPr>
                <w:sz w:val="17"/>
              </w:rPr>
              <w:t>Informing investigators of new safety risks</w:t>
            </w:r>
          </w:p>
        </w:tc>
        <w:tc>
          <w:tcPr>
            <w:tcW w:type="dxa" w:w="2412"/>
          </w:tcPr>
          <w:p>
            <w:r>
              <w:rPr>
                <w:sz w:val="17"/>
              </w:rPr>
              <w:t>312.55</w:t>
            </w:r>
          </w:p>
        </w:tc>
        <w:tc>
          <w:tcPr>
            <w:tcW w:type="dxa" w:w="2412"/>
          </w:tcPr>
          <w:p>
            <w:r>
              <w:rPr>
                <w:sz w:val="17"/>
              </w:rPr>
              <w:t>Retained</w:t>
            </w:r>
          </w:p>
        </w:tc>
        <w:tc>
          <w:tcPr>
            <w:tcW w:type="dxa" w:w="2412"/>
          </w:tcPr>
          <w:p>
            <w:r>
              <w:rPr>
                <w:sz w:val="17"/>
              </w:rPr>
              <w:t>Content approved by the Sponsor medical monitor.</w:t>
            </w:r>
          </w:p>
        </w:tc>
      </w:tr>
      <w:tr>
        <w:tc>
          <w:tcPr>
            <w:tcW w:type="dxa" w:w="2412"/>
          </w:tcPr>
          <w:p>
            <w:r>
              <w:rPr>
                <w:sz w:val="17"/>
              </w:rPr>
              <w:t>Selecting the general investigational plan</w:t>
            </w:r>
          </w:p>
        </w:tc>
        <w:tc>
          <w:tcPr>
            <w:tcW w:type="dxa" w:w="2412"/>
          </w:tcPr>
          <w:p>
            <w:r>
              <w:rPr>
                <w:sz w:val="17"/>
              </w:rPr>
              <w:t>312.23</w:t>
            </w:r>
          </w:p>
        </w:tc>
        <w:tc>
          <w:tcPr>
            <w:tcW w:type="dxa" w:w="2412"/>
          </w:tcPr>
          <w:p>
            <w:r>
              <w:rPr>
                <w:sz w:val="17"/>
              </w:rPr>
              <w:t>Retained</w:t>
            </w:r>
          </w:p>
        </w:tc>
        <w:tc>
          <w:tcPr>
            <w:tcW w:type="dxa" w:w="2412"/>
          </w:tcPr>
          <w:p>
            <w:r>
              <w:rPr>
                <w:sz w:val="17"/>
              </w:rPr>
              <w:t>Sponsor duty.</w:t>
            </w:r>
          </w:p>
        </w:tc>
      </w:tr>
    </w:tbl>
    <w:p/>
    <w:p>
      <w:pPr>
        <w:spacing w:before="200"/>
      </w:pPr>
      <w:r>
        <w:rPr>
          <w:b/>
          <w:color w:val="2B5F8E"/>
          <w:sz w:val="23"/>
        </w:rPr>
        <w:t>12 · Governing Agreement</w:t>
      </w:r>
    </w:p>
    <w:p>
      <w:r>
        <w:t>This Statement of Work is issued under the Master Services Agreement and creates no rights independent of it. Warranty, limitation of liability, intellectual property, confidentiality, insurance, indemnity and dispute resolution are governed by the MSA and are not restated here. Restating them invites the two documents to disagree.</w:t>
      </w:r>
    </w:p>
    <w:p>
      <w:r>
        <w:t>Three instruments prevail over this Statement of Work on the matters they address: the written transfer of regulatory obligations under 312.52; the Pharmacovigilance Agreement, on safety data exchange; and the Quality Agreement where investigational product handling is engaged. The rate card annexed to the MSA governs change orders. Where this SOW and the MSA conflict on commercial terms the MSA prevails; on scope, deliverables and acceptance, this SOW does.</w:t>
      </w:r>
    </w:p>
    <w:p>
      <w:pPr>
        <w:spacing w:before="200"/>
      </w:pPr>
      <w:r>
        <w:rPr>
          <w:b/>
          <w:color w:val="2B5F8E"/>
          <w:sz w:val="23"/>
        </w:rPr>
        <w:t>13 · Approval</w:t>
      </w:r>
    </w:p>
    <w:p>
      <w:r>
        <w:t>⚠ A gate outcome is a Committee decision, minuted, and is not subject to reversal by any individual member including the Executive Sponsor. This work package is released against that decision; the table below records it rather than replacing it with signatures. The Program Director chairs and does not vote.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Name</w:t>
            </w:r>
          </w:p>
        </w:tc>
        <w:tc>
          <w:tcPr>
            <w:tcW w:type="dxa" w:w="3216"/>
          </w:tcPr>
          <w:p>
            <w:r>
              <w:rPr>
                <w:b/>
                <w:sz w:val="17"/>
              </w:rPr>
              <w:t>Seat</w:t>
            </w:r>
          </w:p>
        </w:tc>
        <w:tc>
          <w:tcPr>
            <w:tcW w:type="dxa" w:w="3216"/>
          </w:tcPr>
          <w:p>
            <w:r>
              <w:rPr>
                <w:b/>
                <w:sz w:val="17"/>
              </w:rPr>
              <w:t>Basis of decision</w:t>
            </w:r>
          </w:p>
        </w:tc>
      </w:tr>
      <w:tr>
        <w:tc>
          <w:tcPr>
            <w:tcW w:type="dxa" w:w="3216"/>
          </w:tcPr>
          <w:p>
            <w:r>
              <w:rPr>
                <w:sz w:val="17"/>
              </w:rPr>
              <w:t>Dr. A. Okoye</w:t>
            </w:r>
          </w:p>
        </w:tc>
        <w:tc>
          <w:tcPr>
            <w:tcW w:type="dxa" w:w="3216"/>
          </w:tcPr>
          <w:p>
            <w:r>
              <w:rPr>
                <w:sz w:val="17"/>
              </w:rPr>
              <w:t>Chief Medical Officer — Executive Sponsor</w:t>
            </w:r>
          </w:p>
        </w:tc>
        <w:tc>
          <w:tcPr>
            <w:tcW w:type="dxa" w:w="3216"/>
          </w:tcPr>
          <w:p>
            <w:r>
              <w:rPr>
                <w:sz w:val="17"/>
              </w:rPr>
              <w:t>Commercial commitment and medical acceptability</w:t>
            </w:r>
          </w:p>
        </w:tc>
      </w:tr>
      <w:tr>
        <w:tc>
          <w:tcPr>
            <w:tcW w:type="dxa" w:w="3216"/>
          </w:tcPr>
          <w:p>
            <w:r>
              <w:rPr>
                <w:sz w:val="17"/>
              </w:rPr>
              <w:t>Dr. P. Raghunathan</w:t>
            </w:r>
          </w:p>
        </w:tc>
        <w:tc>
          <w:tcPr>
            <w:tcW w:type="dxa" w:w="3216"/>
          </w:tcPr>
          <w:p>
            <w:r>
              <w:rPr>
                <w:sz w:val="17"/>
              </w:rPr>
              <w:t>SVP, Regulatory Strategy</w:t>
            </w:r>
          </w:p>
        </w:tc>
        <w:tc>
          <w:tcPr>
            <w:tcW w:type="dxa" w:w="3216"/>
          </w:tcPr>
          <w:p>
            <w:r>
              <w:rPr>
                <w:sz w:val="17"/>
              </w:rPr>
              <w:t>Transfer schedule and retained obligations</w:t>
            </w:r>
          </w:p>
        </w:tc>
      </w:tr>
      <w:tr>
        <w:tc>
          <w:tcPr>
            <w:tcW w:type="dxa" w:w="3216"/>
          </w:tcPr>
          <w:p>
            <w:r>
              <w:rPr>
                <w:sz w:val="17"/>
              </w:rPr>
              <w:t>Dr. I. Solberg</w:t>
            </w:r>
          </w:p>
        </w:tc>
        <w:tc>
          <w:tcPr>
            <w:tcW w:type="dxa" w:w="3216"/>
          </w:tcPr>
          <w:p>
            <w:r>
              <w:rPr>
                <w:sz w:val="17"/>
              </w:rPr>
              <w:t>Chief Quality Officer (observer, no vote)</w:t>
            </w:r>
          </w:p>
        </w:tc>
        <w:tc>
          <w:tcPr>
            <w:tcW w:type="dxa" w:w="3216"/>
          </w:tcPr>
          <w:p>
            <w:r>
              <w:rPr>
                <w:sz w:val="17"/>
              </w:rPr>
              <w:t>Inspection readiness and audit rights</w:t>
            </w:r>
          </w:p>
        </w:tc>
      </w:tr>
      <w:tr>
        <w:tc>
          <w:tcPr>
            <w:tcW w:type="dxa" w:w="3216"/>
          </w:tcPr>
          <w:p>
            <w:r>
              <w:rPr>
                <w:sz w:val="17"/>
              </w:rPr>
              <w:t>C. Tyrrell</w:t>
            </w:r>
          </w:p>
        </w:tc>
        <w:tc>
          <w:tcPr>
            <w:tcW w:type="dxa" w:w="3216"/>
          </w:tcPr>
          <w:p>
            <w:r>
              <w:rPr>
                <w:sz w:val="17"/>
              </w:rPr>
              <w:t>Program Director — Chair, no vote</w:t>
            </w:r>
          </w:p>
        </w:tc>
        <w:tc>
          <w:tcPr>
            <w:tcW w:type="dxa" w:w="3216"/>
          </w:tcPr>
          <w:p>
            <w:r>
              <w:rPr>
                <w:sz w:val="17"/>
              </w:rPr>
              <w:t>Scope, schedule and tranche release</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