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MONITOR &amp; CONTROL · VITALIS THERAPEUTICS INC.</w:t>
      </w:r>
    </w:p>
    <w:p>
      <w:r>
        <w:rPr>
          <w:b/>
          <w:color w:val="12304A"/>
          <w:sz w:val="44"/>
        </w:rPr>
        <w:t>Program Status Report</w:t>
      </w:r>
    </w:p>
    <w:p>
      <w:r>
        <w:rPr>
          <w:i/>
          <w:color w:val="6B7280"/>
          <w:sz w:val="17"/>
        </w:rPr>
        <w:t>Vitalis Therapeutics Inc. · VitaFlow (VTX-401) · Program Status Report · period ending 15 October 2026. Fictional program.</w:t>
      </w:r>
    </w:p>
    <w:p/>
    <w:p>
      <w:pPr>
        <w:spacing w:before="320"/>
      </w:pPr>
      <w:r>
        <w:rPr>
          <w:b/>
          <w:color w:val="12304A"/>
          <w:sz w:val="28"/>
        </w:rPr>
        <w:t>1. Summary</w:t>
      </w:r>
    </w:p>
    <w:p>
      <w:r>
        <w:t>Reporting period ending 15 October 2026. Stage 4 of 5 — Phase 3 and NDA assembly. Gate 5 is 23 months away.</w:t>
      </w:r>
    </w:p>
    <w:p>
      <w:r>
        <w:t>One area is red. Three are amber, two of them improving. The program remains within its authorized ceiling, with $201,200,000 released of $243,040,000 and $101,000,000 spent. The filing date has not moved, and the reason it has not moved is set out in §4 rather than asserted here.</w:t>
      </w:r>
    </w:p>
    <w:p>
      <w:pPr>
        <w:spacing w:before="120"/>
        <w:ind w:left="360"/>
      </w:pPr>
      <w:r>
        <w:rPr>
          <w:i/>
          <w:color w:val="12304A"/>
          <w:sz w:val="20"/>
        </w:rPr>
        <w:t>Enrolment has gone red this period, and it went red by rule rather than by judgment.</w:t>
      </w:r>
    </w:p>
    <w:p>
      <w:pPr>
        <w:spacing w:before="120"/>
        <w:ind w:left="360"/>
      </w:pPr>
      <w:r>
        <w:rPr>
          <w:i/>
          <w:color w:val="12304A"/>
          <w:sz w:val="20"/>
        </w:rPr>
        <w:t>It has been amber for three consecutive reports. The reporting rule agreed at Gate 4 turns any area red on the fourth, regardless of what the owner or the Program Director believes about the trajectory. That is deliberate, and it is the single most useful line in the reporting framework.</w:t>
      </w:r>
    </w:p>
    <w:p>
      <w:pPr>
        <w:spacing w:before="120"/>
        <w:ind w:left="360"/>
      </w:pPr>
      <w:r>
        <w:rPr>
          <w:i/>
          <w:color w:val="12304A"/>
          <w:sz w:val="20"/>
        </w:rPr>
        <w:t>Nothing about the underlying position changed materially this month. What changed is that the program is no longer permitted to describe a four-month-old unrecovered variance as “being managed”.</w:t>
      </w:r>
    </w:p>
    <w:p>
      <w:pPr>
        <w:spacing w:before="320"/>
      </w:pPr>
      <w:r>
        <w:rPr>
          <w:b/>
          <w:color w:val="12304A"/>
          <w:sz w:val="28"/>
        </w:rPr>
        <w:t>2. What the Colors Mean</w:t>
      </w:r>
    </w:p>
    <w:p>
      <w:r>
        <w:t>Agreed at Gate 4, before anyone knew which areas would need them.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Means</w:t>
            </w:r>
          </w:p>
        </w:tc>
        <w:tc>
          <w:tcPr>
            <w:tcW w:type="dxa" w:w="3216"/>
          </w:tcPr>
          <w:p>
            <w:r>
              <w:rPr>
                <w:b/>
                <w:sz w:val="17"/>
              </w:rPr>
              <w:t>What the Committee does</w:t>
            </w:r>
          </w:p>
        </w:tc>
      </w:tr>
      <w:tr>
        <w:tc>
          <w:tcPr>
            <w:tcW w:type="dxa" w:w="3216"/>
          </w:tcPr>
          <w:p>
            <w:r>
              <w:rPr>
                <w:sz w:val="17"/>
              </w:rPr>
              <w:t>Green</w:t>
            </w:r>
          </w:p>
        </w:tc>
        <w:tc>
          <w:tcPr>
            <w:tcW w:type="dxa" w:w="3216"/>
          </w:tcPr>
          <w:p>
            <w:r>
              <w:rPr>
                <w:sz w:val="17"/>
              </w:rPr>
              <w:t>On plan, or a variance with a closed corrective action. No Committee action needed.</w:t>
            </w:r>
          </w:p>
        </w:tc>
        <w:tc>
          <w:tcPr>
            <w:tcW w:type="dxa" w:w="3216"/>
          </w:tcPr>
          <w:p>
            <w:r>
              <w:rPr>
                <w:sz w:val="17"/>
              </w:rPr>
            </w:r>
          </w:p>
        </w:tc>
      </w:tr>
      <w:tr>
        <w:tc>
          <w:tcPr>
            <w:tcW w:type="dxa" w:w="3216"/>
          </w:tcPr>
          <w:p>
            <w:r>
              <w:rPr>
                <w:sz w:val="17"/>
              </w:rPr>
              <w:t>Amber</w:t>
            </w:r>
          </w:p>
        </w:tc>
        <w:tc>
          <w:tcPr>
            <w:tcW w:type="dxa" w:w="3216"/>
          </w:tcPr>
          <w:p>
            <w:r>
              <w:rPr>
                <w:sz w:val="17"/>
              </w:rPr>
              <w:t>A variance with a corrective action IN PROGRESS and a date by which the measure should recover. Reported, not escalated.</w:t>
            </w:r>
          </w:p>
        </w:tc>
        <w:tc>
          <w:tcPr>
            <w:tcW w:type="dxa" w:w="3216"/>
          </w:tcPr>
          <w:p>
            <w:r>
              <w:rPr>
                <w:sz w:val="17"/>
              </w:rPr>
            </w:r>
          </w:p>
        </w:tc>
      </w:tr>
      <w:tr>
        <w:tc>
          <w:tcPr>
            <w:tcW w:type="dxa" w:w="3216"/>
          </w:tcPr>
          <w:p>
            <w:r>
              <w:rPr>
                <w:sz w:val="17"/>
              </w:rPr>
              <w:t>Red</w:t>
            </w:r>
          </w:p>
        </w:tc>
        <w:tc>
          <w:tcPr>
            <w:tcW w:type="dxa" w:w="3216"/>
          </w:tcPr>
          <w:p>
            <w:r>
              <w:rPr>
                <w:sz w:val="17"/>
              </w:rPr>
              <w:t>Either no corrective action exists, or the action has failed to recover the measure by its stated date. Requires a Committee decision this meeting.</w:t>
            </w:r>
          </w:p>
        </w:tc>
        <w:tc>
          <w:tcPr>
            <w:tcW w:type="dxa" w:w="3216"/>
          </w:tcPr>
          <w:p>
            <w:r>
              <w:rPr>
                <w:sz w:val="17"/>
              </w:rPr>
            </w:r>
          </w:p>
        </w:tc>
      </w:tr>
    </w:tbl>
    <w:p/>
    <w:p>
      <w:pPr>
        <w:spacing w:before="120"/>
        <w:ind w:left="360"/>
      </w:pPr>
      <w:r>
        <w:rPr>
          <w:i/>
          <w:color w:val="12304A"/>
          <w:sz w:val="20"/>
        </w:rPr>
        <w:t>Without a written rule, amber degrades to “I am worried” and green to “leave me alone”.</w:t>
      </w:r>
    </w:p>
    <w:p>
      <w:pPr>
        <w:spacing w:before="120"/>
        <w:ind w:left="360"/>
      </w:pPr>
      <w:r>
        <w:rPr>
          <w:i/>
          <w:color w:val="12304A"/>
          <w:sz w:val="20"/>
        </w:rPr>
        <w:t>Both are feelings, and neither tells a Committee member whether they are required to do anything. The definitions above are all phrased in terms of the corrective action, not the size of the variance — a large variance with a working plan is amber, and a small one with no plan is red. That is the right way round, because the Committee's product is decisions, and a decision is only needed where a plan is missing or has failed.</w:t>
      </w:r>
    </w:p>
    <w:p>
      <w:pPr>
        <w:spacing w:before="120"/>
        <w:ind w:left="360"/>
      </w:pPr>
      <w:r>
        <w:rPr>
          <w:i/>
          <w:color w:val="12304A"/>
          <w:sz w:val="20"/>
        </w:rPr>
        <w:t>An area amber for 3 consecutive reports turns red automatically. This is the defense against the watermelon report — green on the outside, red all the way through — which is not usually produced by dishonesty. It is produced by a series of individually reasonable decisions to give a recovery plan one more month.</w:t>
      </w:r>
    </w:p>
    <w:p>
      <w:pPr>
        <w:spacing w:before="320"/>
      </w:pPr>
      <w:r>
        <w:rPr>
          <w:b/>
          <w:color w:val="12304A"/>
          <w:sz w:val="28"/>
        </w:rPr>
        <w:t>3. Status by Area</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Area</w:t>
            </w:r>
          </w:p>
        </w:tc>
        <w:tc>
          <w:tcPr>
            <w:tcW w:type="dxa" w:w="1930"/>
          </w:tcPr>
          <w:p>
            <w:r>
              <w:rPr>
                <w:b/>
                <w:sz w:val="17"/>
              </w:rPr>
              <w:t>Status</w:t>
            </w:r>
          </w:p>
        </w:tc>
        <w:tc>
          <w:tcPr>
            <w:tcW w:type="dxa" w:w="1930"/>
          </w:tcPr>
          <w:p>
            <w:r>
              <w:rPr>
                <w:b/>
                <w:sz w:val="17"/>
              </w:rPr>
              <w:t>Periods at this status</w:t>
            </w:r>
          </w:p>
        </w:tc>
        <w:tc>
          <w:tcPr>
            <w:tcW w:type="dxa" w:w="1930"/>
          </w:tcPr>
          <w:p>
            <w:r>
              <w:rPr>
                <w:b/>
                <w:sz w:val="17"/>
              </w:rPr>
              <w:t>Position</w:t>
            </w:r>
          </w:p>
        </w:tc>
        <w:tc>
          <w:tcPr>
            <w:tcW w:type="dxa" w:w="1930"/>
          </w:tcPr>
          <w:p>
            <w:r>
              <w:rPr>
                <w:b/>
                <w:sz w:val="17"/>
              </w:rPr>
              <w:t>Movement since last report</w:t>
            </w:r>
          </w:p>
        </w:tc>
      </w:tr>
      <w:tr>
        <w:tc>
          <w:tcPr>
            <w:tcW w:type="dxa" w:w="1930"/>
          </w:tcPr>
          <w:p>
            <w:r>
              <w:rPr>
                <w:sz w:val="17"/>
              </w:rPr>
              <w:t>Enrolment</w:t>
            </w:r>
          </w:p>
        </w:tc>
        <w:tc>
          <w:tcPr>
            <w:tcW w:type="dxa" w:w="1930"/>
          </w:tcPr>
          <w:p>
            <w:r>
              <w:rPr>
                <w:sz w:val="17"/>
              </w:rPr>
              <w:t>Red</w:t>
            </w:r>
          </w:p>
        </w:tc>
        <w:tc>
          <w:tcPr>
            <w:tcW w:type="dxa" w:w="1930"/>
          </w:tcPr>
          <w:p>
            <w:r>
              <w:rPr>
                <w:sz w:val="17"/>
              </w:rPr>
              <w:t>4</w:t>
            </w:r>
          </w:p>
        </w:tc>
        <w:tc>
          <w:tcPr>
            <w:tcW w:type="dxa" w:w="1930"/>
          </w:tcPr>
          <w:p>
            <w:r>
              <w:rPr>
                <w:sz w:val="17"/>
              </w:rPr>
              <w:t>1,684 randomized against a curve of 1,760 — 76 behind. Activation running 22 weeks against a planned 18.</w:t>
            </w:r>
          </w:p>
        </w:tc>
        <w:tc>
          <w:tcPr>
            <w:tcW w:type="dxa" w:w="1930"/>
          </w:tcPr>
          <w:p>
            <w:r>
              <w:rPr>
                <w:sz w:val="17"/>
              </w:rPr>
              <w:t>Amber for three periods, now red on the automatic rule rather than on a judgment.</w:t>
            </w:r>
          </w:p>
        </w:tc>
      </w:tr>
      <w:tr>
        <w:tc>
          <w:tcPr>
            <w:tcW w:type="dxa" w:w="1930"/>
          </w:tcPr>
          <w:p>
            <w:r>
              <w:rPr>
                <w:sz w:val="17"/>
              </w:rPr>
              <w:t>CMC readiness</w:t>
            </w:r>
          </w:p>
        </w:tc>
        <w:tc>
          <w:tcPr>
            <w:tcW w:type="dxa" w:w="1930"/>
          </w:tcPr>
          <w:p>
            <w:r>
              <w:rPr>
                <w:sz w:val="17"/>
              </w:rPr>
              <w:t>Amber</w:t>
            </w:r>
          </w:p>
        </w:tc>
        <w:tc>
          <w:tcPr>
            <w:tcW w:type="dxa" w:w="1930"/>
          </w:tcPr>
          <w:p>
            <w:r>
              <w:rPr>
                <w:sz w:val="17"/>
              </w:rPr>
              <w:t>2</w:t>
            </w:r>
          </w:p>
        </w:tc>
        <w:tc>
          <w:tcPr>
            <w:tcW w:type="dxa" w:w="1930"/>
          </w:tcPr>
          <w:p>
            <w:r>
              <w:rPr>
                <w:sz w:val="17"/>
              </w:rPr>
              <w:t>2 of 3 registration batches; 2 of 3 methods re-qualified; stability at 18 of 24 months. 3 of 7 Gate 5 CMC criteria assessed at risk.</w:t>
            </w:r>
          </w:p>
        </w:tc>
        <w:tc>
          <w:tcPr>
            <w:tcW w:type="dxa" w:w="1930"/>
          </w:tcPr>
          <w:p>
            <w:r>
              <w:rPr>
                <w:sz w:val="17"/>
              </w:rPr>
              <w:t>Improved — method 2 re-qualification signed 28 Aug; method 3 re-run 30 Sep.</w:t>
            </w:r>
          </w:p>
        </w:tc>
      </w:tr>
      <w:tr>
        <w:tc>
          <w:tcPr>
            <w:tcW w:type="dxa" w:w="1930"/>
          </w:tcPr>
          <w:p>
            <w:r>
              <w:rPr>
                <w:sz w:val="17"/>
              </w:rPr>
              <w:t>Market access evidence</w:t>
            </w:r>
          </w:p>
        </w:tc>
        <w:tc>
          <w:tcPr>
            <w:tcW w:type="dxa" w:w="1930"/>
          </w:tcPr>
          <w:p>
            <w:r>
              <w:rPr>
                <w:sz w:val="17"/>
              </w:rPr>
              <w:t>Amber</w:t>
            </w:r>
          </w:p>
        </w:tc>
        <w:tc>
          <w:tcPr>
            <w:tcW w:type="dxa" w:w="1930"/>
          </w:tcPr>
          <w:p>
            <w:r>
              <w:rPr>
                <w:sz w:val="17"/>
              </w:rPr>
              <w:t>2</w:t>
            </w:r>
          </w:p>
        </w:tc>
        <w:tc>
          <w:tcPr>
            <w:tcW w:type="dxa" w:w="1930"/>
          </w:tcPr>
          <w:p>
            <w:r>
              <w:rPr>
                <w:sz w:val="17"/>
              </w:rPr>
              <w:t>Two of five remaining advisory boards still unscheduled against the GC-03 plan.</w:t>
            </w:r>
          </w:p>
        </w:tc>
        <w:tc>
          <w:tcPr>
            <w:tcW w:type="dxa" w:w="1930"/>
          </w:tcPr>
          <w:p>
            <w:r>
              <w:rPr>
                <w:sz w:val="17"/>
              </w:rPr>
              <w:t>No movement this period. Condition GC-03 due 31 Mar 2027.</w:t>
            </w:r>
          </w:p>
        </w:tc>
      </w:tr>
      <w:tr>
        <w:tc>
          <w:tcPr>
            <w:tcW w:type="dxa" w:w="1930"/>
          </w:tcPr>
          <w:p>
            <w:r>
              <w:rPr>
                <w:sz w:val="17"/>
              </w:rPr>
              <w:t>Internal cost</w:t>
            </w:r>
          </w:p>
        </w:tc>
        <w:tc>
          <w:tcPr>
            <w:tcW w:type="dxa" w:w="1930"/>
          </w:tcPr>
          <w:p>
            <w:r>
              <w:rPr>
                <w:sz w:val="17"/>
              </w:rPr>
              <w:t>Amber</w:t>
            </w:r>
          </w:p>
        </w:tc>
        <w:tc>
          <w:tcPr>
            <w:tcW w:type="dxa" w:w="1930"/>
          </w:tcPr>
          <w:p>
            <w:r>
              <w:rPr>
                <w:sz w:val="17"/>
              </w:rPr>
              <w:t>1</w:t>
            </w:r>
          </w:p>
        </w:tc>
        <w:tc>
          <w:tcPr>
            <w:tcW w:type="dxa" w:w="1930"/>
          </w:tcPr>
          <w:p>
            <w:r>
              <w:rPr>
                <w:sz w:val="17"/>
              </w:rPr>
              <w:t>CPI 0.939; forecast overrun on the internal labor envelope of $2,355,000.</w:t>
            </w:r>
          </w:p>
        </w:tc>
        <w:tc>
          <w:tcPr>
            <w:tcW w:type="dxa" w:w="1930"/>
          </w:tcPr>
          <w:p>
            <w:r>
              <w:rPr>
                <w:sz w:val="17"/>
              </w:rPr>
              <w:t>Deteriorated — TCPI now exceeds CPI by more than the 0.05 threshold.</w:t>
            </w:r>
          </w:p>
        </w:tc>
      </w:tr>
      <w:tr>
        <w:tc>
          <w:tcPr>
            <w:tcW w:type="dxa" w:w="1930"/>
          </w:tcPr>
          <w:p>
            <w:r>
              <w:rPr>
                <w:sz w:val="17"/>
              </w:rPr>
              <w:t>Safety</w:t>
            </w:r>
          </w:p>
        </w:tc>
        <w:tc>
          <w:tcPr>
            <w:tcW w:type="dxa" w:w="1930"/>
          </w:tcPr>
          <w:p>
            <w:r>
              <w:rPr>
                <w:sz w:val="17"/>
              </w:rPr>
              <w:t>Green</w:t>
            </w:r>
          </w:p>
        </w:tc>
        <w:tc>
          <w:tcPr>
            <w:tcW w:type="dxa" w:w="1930"/>
          </w:tcPr>
          <w:p>
            <w:r>
              <w:rPr>
                <w:sz w:val="17"/>
              </w:rPr>
              <w:t>9</w:t>
            </w:r>
          </w:p>
        </w:tc>
        <w:tc>
          <w:tcPr>
            <w:tcW w:type="dxa" w:w="1930"/>
          </w:tcPr>
          <w:p>
            <w:r>
              <w:rPr>
                <w:sz w:val="17"/>
              </w:rPr>
              <w:t>214 SAEs; 3 seven-day and 41 fifteen-day expedited reports, 100% on time. IB at v4.</w:t>
            </w:r>
          </w:p>
        </w:tc>
        <w:tc>
          <w:tcPr>
            <w:tcW w:type="dxa" w:w="1930"/>
          </w:tcPr>
          <w:p>
            <w:r>
              <w:rPr>
                <w:sz w:val="17"/>
              </w:rPr>
              <w:t>Stable. No signal requiring DMC action.</w:t>
            </w:r>
          </w:p>
        </w:tc>
      </w:tr>
      <w:tr>
        <w:tc>
          <w:tcPr>
            <w:tcW w:type="dxa" w:w="1930"/>
          </w:tcPr>
          <w:p>
            <w:r>
              <w:rPr>
                <w:sz w:val="17"/>
              </w:rPr>
              <w:t>Regulatory</w:t>
            </w:r>
          </w:p>
        </w:tc>
        <w:tc>
          <w:tcPr>
            <w:tcW w:type="dxa" w:w="1930"/>
          </w:tcPr>
          <w:p>
            <w:r>
              <w:rPr>
                <w:sz w:val="17"/>
              </w:rPr>
              <w:t>Green</w:t>
            </w:r>
          </w:p>
        </w:tc>
        <w:tc>
          <w:tcPr>
            <w:tcW w:type="dxa" w:w="1930"/>
          </w:tcPr>
          <w:p>
            <w:r>
              <w:rPr>
                <w:sz w:val="17"/>
              </w:rPr>
              <w:t>6</w:t>
            </w:r>
          </w:p>
        </w:tc>
        <w:tc>
          <w:tcPr>
            <w:tcW w:type="dxa" w:w="1930"/>
          </w:tcPr>
          <w:p>
            <w:r>
              <w:rPr>
                <w:sz w:val="17"/>
              </w:rPr>
              <w:t>7 information requests answered; 0 major amendments; agreed iPSP in place.</w:t>
            </w:r>
          </w:p>
        </w:tc>
        <w:tc>
          <w:tcPr>
            <w:tcW w:type="dxa" w:w="1930"/>
          </w:tcPr>
          <w:p>
            <w:r>
              <w:rPr>
                <w:sz w:val="17"/>
              </w:rPr>
              <w:t>Stable. Pre-NDA meeting scheduled for 10 Aug 2028.</w:t>
            </w:r>
          </w:p>
        </w:tc>
      </w:tr>
      <w:tr>
        <w:tc>
          <w:tcPr>
            <w:tcW w:type="dxa" w:w="1930"/>
          </w:tcPr>
          <w:p>
            <w:r>
              <w:rPr>
                <w:sz w:val="17"/>
              </w:rPr>
              <w:t>Data management</w:t>
            </w:r>
          </w:p>
        </w:tc>
        <w:tc>
          <w:tcPr>
            <w:tcW w:type="dxa" w:w="1930"/>
          </w:tcPr>
          <w:p>
            <w:r>
              <w:rPr>
                <w:sz w:val="17"/>
              </w:rPr>
              <w:t>Green</w:t>
            </w:r>
          </w:p>
        </w:tc>
        <w:tc>
          <w:tcPr>
            <w:tcW w:type="dxa" w:w="1930"/>
          </w:tcPr>
          <w:p>
            <w:r>
              <w:rPr>
                <w:sz w:val="17"/>
              </w:rPr>
              <w:t>5</w:t>
            </w:r>
          </w:p>
        </w:tc>
        <w:tc>
          <w:tcPr>
            <w:tcW w:type="dxa" w:w="1930"/>
          </w:tcPr>
          <w:p>
            <w:r>
              <w:rPr>
                <w:sz w:val="17"/>
              </w:rPr>
              <w:t>18,400 queries raised, 6-day median close; 17 SAE discrepancies found, 0 open.</w:t>
            </w:r>
          </w:p>
        </w:tc>
        <w:tc>
          <w:tcPr>
            <w:tcW w:type="dxa" w:w="1930"/>
          </w:tcPr>
          <w:p>
            <w:r>
              <w:rPr>
                <w:sz w:val="17"/>
              </w:rPr>
              <w:t>Stable.</w:t>
            </w:r>
          </w:p>
        </w:tc>
      </w:tr>
      <w:tr>
        <w:tc>
          <w:tcPr>
            <w:tcW w:type="dxa" w:w="1930"/>
          </w:tcPr>
          <w:p>
            <w:r>
              <w:rPr>
                <w:sz w:val="17"/>
              </w:rPr>
              <w:t>Governance</w:t>
            </w:r>
          </w:p>
        </w:tc>
        <w:tc>
          <w:tcPr>
            <w:tcW w:type="dxa" w:w="1930"/>
          </w:tcPr>
          <w:p>
            <w:r>
              <w:rPr>
                <w:sz w:val="17"/>
              </w:rPr>
              <w:t>Green</w:t>
            </w:r>
          </w:p>
        </w:tc>
        <w:tc>
          <w:tcPr>
            <w:tcW w:type="dxa" w:w="1930"/>
          </w:tcPr>
          <w:p>
            <w:r>
              <w:rPr>
                <w:sz w:val="17"/>
              </w:rPr>
              <w:t>8</w:t>
            </w:r>
          </w:p>
        </w:tc>
        <w:tc>
          <w:tcPr>
            <w:tcW w:type="dxa" w:w="1930"/>
          </w:tcPr>
          <w:p>
            <w:r>
              <w:rPr>
                <w:sz w:val="17"/>
              </w:rPr>
              <w:t>GC-02 closed 25 Sep. GC-01 and GC-03 open and within their due dates.</w:t>
            </w:r>
          </w:p>
        </w:tc>
        <w:tc>
          <w:tcPr>
            <w:tcW w:type="dxa" w:w="1930"/>
          </w:tcPr>
          <w:p>
            <w:r>
              <w:rPr>
                <w:sz w:val="17"/>
              </w:rPr>
              <w:t>Improved — one condition closed this period.</w:t>
            </w:r>
          </w:p>
        </w:tc>
      </w:tr>
    </w:tbl>
    <w:p/>
    <w:p>
      <w:r>
        <w:t>The periods column is not decoration. It is what converts a snapshot into a trend without requiring the reader to remember eight previous reports, and it is what makes the automatic escalation rule auditable rather than a matter of the Program Director's memory.</w:t>
      </w:r>
    </w:p>
    <w:p>
      <w:pPr>
        <w:spacing w:before="320"/>
      </w:pPr>
      <w:r>
        <w:rPr>
          <w:b/>
          <w:color w:val="12304A"/>
          <w:sz w:val="28"/>
        </w:rPr>
        <w:t>4. Enrolment — the Red</w:t>
      </w:r>
    </w:p>
    <w:p>
      <w:r>
        <w:t>1,684 randomized against a curve of 1,760. 231 of 260 sites activated, 214 enrolling.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Position</w:t>
            </w:r>
          </w:p>
        </w:tc>
        <w:tc>
          <w:tcPr>
            <w:tcW w:type="dxa" w:w="3216"/>
          </w:tcPr>
          <w:p>
            <w:r>
              <w:rPr>
                <w:b/>
                <w:sz w:val="17"/>
              </w:rPr>
              <w:t>Assessment</w:t>
            </w:r>
          </w:p>
        </w:tc>
      </w:tr>
      <w:tr>
        <w:tc>
          <w:tcPr>
            <w:tcW w:type="dxa" w:w="3216"/>
          </w:tcPr>
          <w:p>
            <w:r>
              <w:rPr>
                <w:sz w:val="17"/>
              </w:rPr>
              <w:t>The shortfall</w:t>
            </w:r>
          </w:p>
        </w:tc>
        <w:tc>
          <w:tcPr>
            <w:tcW w:type="dxa" w:w="3216"/>
          </w:tcPr>
          <w:p>
            <w:r>
              <w:rPr>
                <w:sz w:val="17"/>
              </w:rPr>
              <w:t>76 participants behind curve</w:t>
            </w:r>
          </w:p>
        </w:tc>
        <w:tc>
          <w:tcPr>
            <w:tcW w:type="dxa" w:w="3216"/>
          </w:tcPr>
          <w:p>
            <w:r>
              <w:rPr>
                <w:sz w:val="17"/>
              </w:rPr>
              <w:t>Small in absolute terms against a target of 2,480. Structural in origin, which is why it has not recovered.</w:t>
            </w:r>
          </w:p>
        </w:tc>
      </w:tr>
      <w:tr>
        <w:tc>
          <w:tcPr>
            <w:tcW w:type="dxa" w:w="3216"/>
          </w:tcPr>
          <w:p>
            <w:r>
              <w:rPr>
                <w:sz w:val="17"/>
              </w:rPr>
              <w:t>The cause</w:t>
            </w:r>
          </w:p>
        </w:tc>
        <w:tc>
          <w:tcPr>
            <w:tcW w:type="dxa" w:w="3216"/>
          </w:tcPr>
          <w:p>
            <w:r>
              <w:rPr>
                <w:sz w:val="17"/>
              </w:rPr>
              <w:t>Site activation running 22 weeks against a planned 18</w:t>
            </w:r>
          </w:p>
        </w:tc>
        <w:tc>
          <w:tcPr>
            <w:tcW w:type="dxa" w:w="3216"/>
          </w:tcPr>
          <w:p>
            <w:r>
              <w:rPr>
                <w:sz w:val="17"/>
              </w:rPr>
              <w:t>Delay sits in contract execution and IRB review — the two steps the sponsor influences least and the CRO cannot compel.</w:t>
            </w:r>
          </w:p>
        </w:tc>
      </w:tr>
      <w:tr>
        <w:tc>
          <w:tcPr>
            <w:tcW w:type="dxa" w:w="3216"/>
          </w:tcPr>
          <w:p>
            <w:r>
              <w:rPr>
                <w:sz w:val="17"/>
              </w:rPr>
              <w:t>Screening</w:t>
            </w:r>
          </w:p>
        </w:tc>
        <w:tc>
          <w:tcPr>
            <w:tcW w:type="dxa" w:w="3216"/>
          </w:tcPr>
          <w:p>
            <w:r>
              <w:rPr>
                <w:sz w:val="17"/>
              </w:rPr>
              <w:t>1,142 screen failures of 2,910 screened</w:t>
            </w:r>
          </w:p>
        </w:tc>
        <w:tc>
          <w:tcPr>
            <w:tcW w:type="dxa" w:w="3216"/>
          </w:tcPr>
          <w:p>
            <w:r>
              <w:rPr>
                <w:sz w:val="17"/>
              </w:rPr>
              <w:t>40% — within the planned range. This is a site problem, not a screening problem.</w:t>
            </w:r>
          </w:p>
        </w:tc>
      </w:tr>
      <w:tr>
        <w:tc>
          <w:tcPr>
            <w:tcW w:type="dxa" w:w="3216"/>
          </w:tcPr>
          <w:p>
            <w:r>
              <w:rPr>
                <w:sz w:val="17"/>
              </w:rPr>
              <w:t>What has been tried</w:t>
            </w:r>
          </w:p>
        </w:tc>
        <w:tc>
          <w:tcPr>
            <w:tcW w:type="dxa" w:w="3216"/>
          </w:tcPr>
          <w:p>
            <w:r>
              <w:rPr>
                <w:sz w:val="17"/>
              </w:rPr>
              <w:t>First tranche of reserve sites released</w:t>
            </w:r>
          </w:p>
        </w:tc>
        <w:tc>
          <w:tcPr>
            <w:tcW w:type="dxa" w:w="3216"/>
          </w:tcPr>
          <w:p>
            <w:r>
              <w:rPr>
                <w:sz w:val="17"/>
              </w:rPr>
              <w:t>Has not recovered the curve. Each new site carries the same 22-week activation lead time before it contributes anything.</w:t>
            </w:r>
          </w:p>
        </w:tc>
      </w:tr>
    </w:tbl>
    <w:p/>
    <w:p>
      <w:pPr>
        <w:spacing w:before="120"/>
        <w:ind w:left="360"/>
      </w:pPr>
      <w:r>
        <w:rPr>
          <w:i/>
          <w:color w:val="12304A"/>
          <w:sz w:val="20"/>
        </w:rPr>
        <w:t>The honest statement is that the program does not have a lever that acts inside this quarter.</w:t>
      </w:r>
    </w:p>
    <w:p>
      <w:pPr>
        <w:spacing w:before="120"/>
        <w:ind w:left="360"/>
      </w:pPr>
      <w:r>
        <w:rPr>
          <w:i/>
          <w:color w:val="12304A"/>
          <w:sz w:val="20"/>
        </w:rPr>
        <w:t>Adding monitors does not activate a site faster. Adding sites adds more of the same lead time. Increasing screening does not help, because screening is not the constraint. The only lever with any effect is the reserve site list, and it acts in about five months.</w:t>
      </w:r>
    </w:p>
    <w:p>
      <w:pPr>
        <w:spacing w:before="120"/>
        <w:ind w:left="360"/>
      </w:pPr>
      <w:r>
        <w:rPr>
          <w:i/>
          <w:color w:val="12304A"/>
          <w:sz w:val="20"/>
        </w:rPr>
        <w:t>The recovery plan is forecast on the reserve sites delivering half of what they promise. That is not pessimism; it is what the first release actually delivered. Forecasting full delivery is how a program reports green until the month it reports red.</w:t>
      </w:r>
    </w:p>
    <w:p>
      <w:r>
        <w:t>Effect on the filing date, stated plainly: treatment duration is fixed at 68 weeks after the last participant is randomized. A month of slip in last-participant-in is a month of slip in the last data point, in database lock, and in every date after it — one for one. The filing date has not moved because the shortfall has not yet consumed the float in the Phase 3 window. It would take approximately a further quarter at the current rate before it does, and the Committee should expect that question at the next report rather than this one.</w:t>
      </w:r>
    </w:p>
    <w:p>
      <w:pPr>
        <w:spacing w:before="320"/>
      </w:pPr>
      <w:r>
        <w:rPr>
          <w:b/>
          <w:color w:val="12304A"/>
          <w:sz w:val="28"/>
        </w:rPr>
        <w:t>5. Financial Position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Amount</w:t>
            </w:r>
          </w:p>
        </w:tc>
        <w:tc>
          <w:tcPr>
            <w:tcW w:type="dxa" w:w="3216"/>
          </w:tcPr>
          <w:p>
            <w:r>
              <w:rPr>
                <w:b/>
                <w:sz w:val="17"/>
              </w:rPr>
              <w:t>Note</w:t>
            </w:r>
          </w:p>
        </w:tc>
      </w:tr>
      <w:tr>
        <w:tc>
          <w:tcPr>
            <w:tcW w:type="dxa" w:w="3216"/>
          </w:tcPr>
          <w:p>
            <w:r>
              <w:rPr>
                <w:sz w:val="17"/>
              </w:rPr>
              <w:t>Authorized ceiling</w:t>
            </w:r>
          </w:p>
        </w:tc>
        <w:tc>
          <w:tcPr>
            <w:tcW w:type="dxa" w:w="3216"/>
          </w:tcPr>
          <w:p>
            <w:r>
              <w:rPr>
                <w:sz w:val="17"/>
              </w:rPr>
              <w:t>$243,040,000</w:t>
            </w:r>
          </w:p>
        </w:tc>
        <w:tc>
          <w:tcPr>
            <w:tcW w:type="dxa" w:w="3216"/>
          </w:tcPr>
          <w:p>
            <w:r>
              <w:rPr>
                <w:sz w:val="17"/>
              </w:rPr>
              <w:t>Board authority. Not a Committee matter at any size.</w:t>
            </w:r>
          </w:p>
        </w:tc>
      </w:tr>
      <w:tr>
        <w:tc>
          <w:tcPr>
            <w:tcW w:type="dxa" w:w="3216"/>
          </w:tcPr>
          <w:p>
            <w:r>
              <w:rPr>
                <w:sz w:val="17"/>
              </w:rPr>
              <w:t>Released to date</w:t>
            </w:r>
          </w:p>
        </w:tc>
        <w:tc>
          <w:tcPr>
            <w:tcW w:type="dxa" w:w="3216"/>
          </w:tcPr>
          <w:p>
            <w:r>
              <w:rPr>
                <w:sz w:val="17"/>
              </w:rPr>
              <w:t>$201,200,000</w:t>
            </w:r>
          </w:p>
        </w:tc>
        <w:tc>
          <w:tcPr>
            <w:tcW w:type="dxa" w:w="3216"/>
          </w:tcPr>
          <w:p>
            <w:r>
              <w:rPr>
                <w:sz w:val="17"/>
              </w:rPr>
              <w:t>83% of the ceiling, through the Gate 4 tranche.</w:t>
            </w:r>
          </w:p>
        </w:tc>
      </w:tr>
      <w:tr>
        <w:tc>
          <w:tcPr>
            <w:tcW w:type="dxa" w:w="3216"/>
          </w:tcPr>
          <w:p>
            <w:r>
              <w:rPr>
                <w:sz w:val="17"/>
              </w:rPr>
              <w:t>Spent to date</w:t>
            </w:r>
          </w:p>
        </w:tc>
        <w:tc>
          <w:tcPr>
            <w:tcW w:type="dxa" w:w="3216"/>
          </w:tcPr>
          <w:p>
            <w:r>
              <w:rPr>
                <w:sz w:val="17"/>
              </w:rPr>
              <w:t>$101,000,000</w:t>
            </w:r>
          </w:p>
        </w:tc>
        <w:tc>
          <w:tcPr>
            <w:tcW w:type="dxa" w:w="3216"/>
          </w:tcPr>
          <w:p>
            <w:r>
              <w:rPr>
                <w:sz w:val="17"/>
              </w:rPr>
              <w:t>50% of what has been released.</w:t>
            </w:r>
          </w:p>
        </w:tc>
      </w:tr>
      <w:tr>
        <w:tc>
          <w:tcPr>
            <w:tcW w:type="dxa" w:w="3216"/>
          </w:tcPr>
          <w:p>
            <w:r>
              <w:rPr>
                <w:sz w:val="17"/>
              </w:rPr>
              <w:t>Contingency drawn</w:t>
            </w:r>
          </w:p>
        </w:tc>
        <w:tc>
          <w:tcPr>
            <w:tcW w:type="dxa" w:w="3216"/>
          </w:tcPr>
          <w:p>
            <w:r>
              <w:rPr>
                <w:sz w:val="17"/>
              </w:rPr>
              <w:t>$9,050,000</w:t>
            </w:r>
          </w:p>
        </w:tc>
        <w:tc>
          <w:tcPr>
            <w:tcW w:type="dxa" w:w="3216"/>
          </w:tcPr>
          <w:p>
            <w:r>
              <w:rPr>
                <w:sz w:val="17"/>
              </w:rPr>
              <w:t>35% of the $26,040,000 reserve, across 2 draws.</w:t>
            </w:r>
          </w:p>
        </w:tc>
      </w:tr>
      <w:tr>
        <w:tc>
          <w:tcPr>
            <w:tcW w:type="dxa" w:w="3216"/>
          </w:tcPr>
          <w:p>
            <w:r>
              <w:rPr>
                <w:sz w:val="17"/>
              </w:rPr>
              <w:t>Internal labor forecast</w:t>
            </w:r>
          </w:p>
        </w:tc>
        <w:tc>
          <w:tcPr>
            <w:tcW w:type="dxa" w:w="3216"/>
          </w:tcPr>
          <w:p>
            <w:r>
              <w:rPr>
                <w:sz w:val="17"/>
              </w:rPr>
              <w:t>$2,355,000 over envelope</w:t>
            </w:r>
          </w:p>
        </w:tc>
        <w:tc>
          <w:tcPr>
            <w:tcW w:type="dxa" w:w="3216"/>
          </w:tcPr>
          <w:p>
            <w:r>
              <w:rPr>
                <w:sz w:val="17"/>
              </w:rPr>
              <w:t>CPI 0.939. See the performance baseline; a revised EAC is requested as decision D-1.</w:t>
            </w:r>
          </w:p>
        </w:tc>
      </w:tr>
    </w:tbl>
    <w:p/>
    <w:p>
      <w:pPr>
        <w:spacing w:before="120"/>
        <w:ind w:left="360"/>
      </w:pPr>
      <w:r>
        <w:rPr>
          <w:i/>
          <w:color w:val="12304A"/>
          <w:sz w:val="20"/>
        </w:rPr>
        <w:t>The number most likely to be misread here is the 50% spend against release.</w:t>
      </w:r>
    </w:p>
    <w:p>
      <w:pPr>
        <w:spacing w:before="120"/>
        <w:ind w:left="360"/>
      </w:pPr>
      <w:r>
        <w:rPr>
          <w:i/>
          <w:color w:val="12304A"/>
          <w:sz w:val="20"/>
        </w:rPr>
        <w:t>It looks like comfortable headroom and it is not a measure of anything. Stage 4 released $125,800,000 in June and runs for 27 months; four months in, roughly that proportion of it should be unspent. Comparing spend to release measures how recently the tranche arrived, not how the program is performing.</w:t>
      </w:r>
    </w:p>
    <w:p>
      <w:pPr>
        <w:spacing w:before="120"/>
        <w:ind w:left="360"/>
      </w:pPr>
      <w:r>
        <w:rPr>
          <w:i/>
          <w:color w:val="12304A"/>
          <w:sz w:val="20"/>
        </w:rPr>
        <w:t>The comparison that carries information is spend against the plan for the period, and that is what the performance baseline reports as CPI. It reads 0.939, which is the honest version of the same question and is considerably less reassuring.</w:t>
      </w:r>
    </w:p>
    <w:p>
      <w:r>
        <w:t>Contingency remains adequate. $16,990,000 is uncommitted against two known exposures: the internal labor overrun above, and the second reserve-site release requested as D-2. Neither is a surprise and both were named at Gate 4. The position the Committee should watch is not the balance but the rate — three draws in the first four months of Stage 4, against a stage that has 23 months left to run.</w:t>
      </w:r>
    </w:p>
    <w:p>
      <w:pPr>
        <w:spacing w:before="320"/>
      </w:pPr>
      <w:r>
        <w:rPr>
          <w:b/>
          <w:color w:val="12304A"/>
          <w:sz w:val="28"/>
        </w:rPr>
        <w:t>6. Decisions Requested</w:t>
      </w:r>
    </w:p>
    <w:p>
      <w:r>
        <w:t>Three items. Two require a decision this meeting; one is for noting.</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Decision requested</w:t>
            </w:r>
          </w:p>
        </w:tc>
        <w:tc>
          <w:tcPr>
            <w:tcW w:type="dxa" w:w="1930"/>
          </w:tcPr>
          <w:p>
            <w:r>
              <w:rPr>
                <w:b/>
                <w:sz w:val="17"/>
              </w:rPr>
              <w:t>Why now</w:t>
            </w:r>
          </w:p>
        </w:tc>
        <w:tc>
          <w:tcPr>
            <w:tcW w:type="dxa" w:w="1930"/>
          </w:tcPr>
          <w:p>
            <w:r>
              <w:rPr>
                <w:b/>
                <w:sz w:val="17"/>
              </w:rPr>
              <w:t>Raised by</w:t>
            </w:r>
          </w:p>
        </w:tc>
        <w:tc>
          <w:tcPr>
            <w:tcW w:type="dxa" w:w="1930"/>
          </w:tcPr>
          <w:p>
            <w:r>
              <w:rPr>
                <w:b/>
                <w:sz w:val="17"/>
              </w:rPr>
              <w:t>By when</w:t>
            </w:r>
          </w:p>
        </w:tc>
      </w:tr>
      <w:tr>
        <w:tc>
          <w:tcPr>
            <w:tcW w:type="dxa" w:w="1930"/>
          </w:tcPr>
          <w:p>
            <w:r>
              <w:rPr>
                <w:sz w:val="17"/>
              </w:rPr>
              <w:t>D-1</w:t>
            </w:r>
          </w:p>
        </w:tc>
        <w:tc>
          <w:tcPr>
            <w:tcW w:type="dxa" w:w="1930"/>
          </w:tcPr>
          <w:p>
            <w:r>
              <w:rPr>
                <w:sz w:val="17"/>
              </w:rPr>
              <w:t>Approve a revised estimate at completion for the internal labor envelope</w:t>
            </w:r>
          </w:p>
        </w:tc>
        <w:tc>
          <w:tcPr>
            <w:tcW w:type="dxa" w:w="1930"/>
          </w:tcPr>
          <w:p>
            <w:r>
              <w:rPr>
                <w:sz w:val="17"/>
              </w:rPr>
              <w:t>TCPI 1.052 against CPI 0.939 — the BAC is no longer achievable on current performance and the variance threshold set at Gate 4 has been breached.</w:t>
            </w:r>
          </w:p>
        </w:tc>
        <w:tc>
          <w:tcPr>
            <w:tcW w:type="dxa" w:w="1930"/>
          </w:tcPr>
          <w:p>
            <w:r>
              <w:rPr>
                <w:sz w:val="17"/>
              </w:rPr>
              <w:t>Program Director</w:t>
            </w:r>
          </w:p>
        </w:tc>
        <w:tc>
          <w:tcPr>
            <w:tcW w:type="dxa" w:w="1930"/>
          </w:tcPr>
          <w:p>
            <w:r>
              <w:rPr>
                <w:sz w:val="17"/>
              </w:rPr>
              <w:t>This meeting</w:t>
            </w:r>
          </w:p>
        </w:tc>
      </w:tr>
      <w:tr>
        <w:tc>
          <w:tcPr>
            <w:tcW w:type="dxa" w:w="1930"/>
          </w:tcPr>
          <w:p>
            <w:r>
              <w:rPr>
                <w:sz w:val="17"/>
              </w:rPr>
              <w:t>D-2</w:t>
            </w:r>
          </w:p>
        </w:tc>
        <w:tc>
          <w:tcPr>
            <w:tcW w:type="dxa" w:w="1930"/>
          </w:tcPr>
          <w:p>
            <w:r>
              <w:rPr>
                <w:sz w:val="17"/>
              </w:rPr>
              <w:t>Authorize release of the second tranche of reserve sites (16 of 34)</w:t>
            </w:r>
          </w:p>
        </w:tc>
        <w:tc>
          <w:tcPr>
            <w:tcW w:type="dxa" w:w="1930"/>
          </w:tcPr>
          <w:p>
            <w:r>
              <w:rPr>
                <w:sz w:val="17"/>
              </w:rPr>
              <w:t>The first release has not recovered the curve. Recovery remains forecast at half of planned delivery.</w:t>
            </w:r>
          </w:p>
        </w:tc>
        <w:tc>
          <w:tcPr>
            <w:tcW w:type="dxa" w:w="1930"/>
          </w:tcPr>
          <w:p>
            <w:r>
              <w:rPr>
                <w:sz w:val="17"/>
              </w:rPr>
              <w:t>Dr. R. Molyneux</w:t>
            </w:r>
          </w:p>
        </w:tc>
        <w:tc>
          <w:tcPr>
            <w:tcW w:type="dxa" w:w="1930"/>
          </w:tcPr>
          <w:p>
            <w:r>
              <w:rPr>
                <w:sz w:val="17"/>
              </w:rPr>
              <w:t>This meeting</w:t>
            </w:r>
          </w:p>
        </w:tc>
      </w:tr>
      <w:tr>
        <w:tc>
          <w:tcPr>
            <w:tcW w:type="dxa" w:w="1930"/>
          </w:tcPr>
          <w:p>
            <w:r>
              <w:rPr>
                <w:sz w:val="17"/>
              </w:rPr>
              <w:t>D-3</w:t>
            </w:r>
          </w:p>
        </w:tc>
        <w:tc>
          <w:tcPr>
            <w:tcW w:type="dxa" w:w="1930"/>
          </w:tcPr>
          <w:p>
            <w:r>
              <w:rPr>
                <w:sz w:val="17"/>
              </w:rPr>
              <w:t>Note the escalation of Enrolment to red under the three-period amber rule</w:t>
            </w:r>
          </w:p>
        </w:tc>
        <w:tc>
          <w:tcPr>
            <w:tcW w:type="dxa" w:w="1930"/>
          </w:tcPr>
          <w:p>
            <w:r>
              <w:rPr>
                <w:sz w:val="17"/>
              </w:rPr>
              <w:t>No decision required. Recorded so that the change is a matter of rule rather than of anyone's judgment, including mine.</w:t>
            </w:r>
          </w:p>
        </w:tc>
        <w:tc>
          <w:tcPr>
            <w:tcW w:type="dxa" w:w="1930"/>
          </w:tcPr>
          <w:p>
            <w:r>
              <w:rPr>
                <w:sz w:val="17"/>
              </w:rPr>
              <w:t>Program Director</w:t>
            </w:r>
          </w:p>
        </w:tc>
        <w:tc>
          <w:tcPr>
            <w:tcW w:type="dxa" w:w="1930"/>
          </w:tcPr>
          <w:p>
            <w:r>
              <w:rPr>
                <w:sz w:val="17"/>
              </w:rPr>
              <w:t>Noting only</w:t>
            </w:r>
          </w:p>
        </w:tc>
      </w:tr>
    </w:tbl>
    <w:p/>
    <w:p>
      <w:pPr>
        <w:spacing w:before="120"/>
        <w:ind w:left="360"/>
      </w:pPr>
      <w:r>
        <w:rPr>
          <w:i/>
          <w:color w:val="12304A"/>
          <w:sz w:val="20"/>
        </w:rPr>
        <w:t>This is the section that makes the document a status report rather than a newsletter.</w:t>
      </w:r>
    </w:p>
    <w:p>
      <w:pPr>
        <w:spacing w:before="120"/>
        <w:ind w:left="360"/>
      </w:pPr>
      <w:r>
        <w:rPr>
          <w:i/>
          <w:color w:val="12304A"/>
          <w:sz w:val="20"/>
        </w:rPr>
        <w:t>A report that describes eight areas, explains four variances and asks for nothing has consumed an hour of the most expensive meeting in the company to produce no decision. If the Program Director cannot name something the Committee must decide, the right move is to cancel the slot, not to fill it.</w:t>
      </w:r>
    </w:p>
    <w:p>
      <w:pPr>
        <w:spacing w:before="120"/>
        <w:ind w:left="360"/>
      </w:pPr>
      <w:r>
        <w:rPr>
          <w:i/>
          <w:color w:val="12304A"/>
          <w:sz w:val="20"/>
        </w:rPr>
        <w:t>Every red area must appear here. That is enforced in the fact base rather than left to discipline: a status report that colors something red and then asks nothing about it is describing a problem it has decided not to solve, and the build fails rather than publishing it.</w:t>
      </w:r>
    </w:p>
    <w:p>
      <w:pPr>
        <w:spacing w:before="320"/>
      </w:pPr>
      <w:r>
        <w:rPr>
          <w:b/>
          <w:color w:val="12304A"/>
          <w:sz w:val="28"/>
        </w:rPr>
        <w:t>7. Look-Ahead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Horizon</w:t>
            </w:r>
          </w:p>
        </w:tc>
        <w:tc>
          <w:tcPr>
            <w:tcW w:type="dxa" w:w="4824"/>
          </w:tcPr>
          <w:p>
            <w:r>
              <w:rPr>
                <w:b/>
                <w:sz w:val="17"/>
              </w:rPr>
              <w:t>What to expect</w:t>
            </w:r>
          </w:p>
        </w:tc>
      </w:tr>
      <w:tr>
        <w:tc>
          <w:tcPr>
            <w:tcW w:type="dxa" w:w="4824"/>
          </w:tcPr>
          <w:p>
            <w:r>
              <w:rPr>
                <w:sz w:val="17"/>
              </w:rPr>
              <w:t>Next 30 days</w:t>
            </w:r>
          </w:p>
        </w:tc>
        <w:tc>
          <w:tcPr>
            <w:tcW w:type="dxa" w:w="4824"/>
          </w:tcPr>
          <w:p>
            <w:r>
              <w:rPr>
                <w:sz w:val="17"/>
              </w:rPr>
              <w:t>Method 3 re-qualification report signed; third registration batch manufactured; two advisory boards scheduled.</w:t>
            </w:r>
          </w:p>
        </w:tc>
      </w:tr>
      <w:tr>
        <w:tc>
          <w:tcPr>
            <w:tcW w:type="dxa" w:w="4824"/>
          </w:tcPr>
          <w:p>
            <w:r>
              <w:rPr>
                <w:sz w:val="17"/>
              </w:rPr>
              <w:t>Next 90 days</w:t>
            </w:r>
          </w:p>
        </w:tc>
        <w:tc>
          <w:tcPr>
            <w:tcW w:type="dxa" w:w="4824"/>
          </w:tcPr>
          <w:p>
            <w:r>
              <w:rPr>
                <w:sz w:val="17"/>
              </w:rPr>
              <w:t>GC-01 due 18 Dec. Enrolment recovery measurable against the revised curve. Contingency position re-tabled.</w:t>
            </w:r>
          </w:p>
        </w:tc>
      </w:tr>
      <w:tr>
        <w:tc>
          <w:tcPr>
            <w:tcW w:type="dxa" w:w="4824"/>
          </w:tcPr>
          <w:p>
            <w:r>
              <w:rPr>
                <w:sz w:val="17"/>
              </w:rPr>
              <w:t>Next gate</w:t>
            </w:r>
          </w:p>
        </w:tc>
        <w:tc>
          <w:tcPr>
            <w:tcW w:type="dxa" w:w="4824"/>
          </w:tcPr>
          <w:p>
            <w:r>
              <w:rPr>
                <w:sz w:val="17"/>
              </w:rPr>
              <w:t>Gate 5, 30 Sep 2028 — NDA submission readiness. 3 of 7 CMC criteria currently at risk.</w:t>
            </w:r>
          </w:p>
        </w:tc>
      </w:tr>
    </w:tbl>
    <w:p/>
    <w:p>
      <w:pPr>
        <w:spacing w:before="120"/>
        <w:ind w:left="360"/>
      </w:pPr>
      <w:r>
        <w:rPr>
          <w:i/>
          <w:color w:val="12304A"/>
          <w:sz w:val="20"/>
        </w:rPr>
        <w:t>The look-ahead is worth more than the look-back, and gets a fraction of the space.</w:t>
      </w:r>
    </w:p>
    <w:p>
      <w:pPr>
        <w:spacing w:before="120"/>
        <w:ind w:left="360"/>
      </w:pPr>
      <w:r>
        <w:rPr>
          <w:i/>
          <w:color w:val="12304A"/>
          <w:sz w:val="20"/>
        </w:rPr>
        <w:t>Everything in §3 has already happened and cannot be changed by anybody reading it. The value of a status report to a governance body is almost entirely in what it lets them decide about the next ninety days — which is why the decisions section sits before this one and the history sits behind it.</w:t>
      </w:r>
    </w:p>
    <w:p>
      <w:pPr>
        <w:spacing w:before="120"/>
        <w:ind w:left="360"/>
      </w:pPr>
      <w:r>
        <w:rPr>
          <w:i/>
          <w:color w:val="12304A"/>
          <w:sz w:val="20"/>
        </w:rPr>
        <w:t>Most status reports invert this, and spend their length on a detailed account of the period just closed. That account is easier to write, harder to argue with, and of no use to anyone with the authority to act.</w:t>
      </w:r>
    </w:p>
    <w:p>
      <w:pPr>
        <w:spacing w:before="320"/>
      </w:pPr>
      <w:r>
        <w:rPr>
          <w:b/>
          <w:color w:val="12304A"/>
          <w:sz w:val="28"/>
        </w:rPr>
        <w:t>8. The Boundaries of This Report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 this report's job</w:t>
            </w:r>
          </w:p>
        </w:tc>
        <w:tc>
          <w:tcPr>
            <w:tcW w:type="dxa" w:w="4824"/>
          </w:tcPr>
          <w:p>
            <w:r>
              <w:rPr>
                <w:b/>
                <w:sz w:val="17"/>
              </w:rPr>
              <w:t>Where it belongs</w:t>
            </w:r>
          </w:p>
        </w:tc>
      </w:tr>
      <w:tr>
        <w:tc>
          <w:tcPr>
            <w:tcW w:type="dxa" w:w="4824"/>
          </w:tcPr>
          <w:p>
            <w:r>
              <w:rPr>
                <w:sz w:val="17"/>
              </w:rPr>
              <w:t>Decide anything</w:t>
            </w:r>
          </w:p>
        </w:tc>
        <w:tc>
          <w:tcPr>
            <w:tcW w:type="dxa" w:w="4824"/>
          </w:tcPr>
          <w:p>
            <w:r>
              <w:rPr>
                <w:sz w:val="17"/>
              </w:rPr>
              <w:t>The Committee decides. This document is the input; the minutes are the record. A status report that records a decision has confused the two.</w:t>
            </w:r>
          </w:p>
        </w:tc>
      </w:tr>
      <w:tr>
        <w:tc>
          <w:tcPr>
            <w:tcW w:type="dxa" w:w="4824"/>
          </w:tcPr>
          <w:p>
            <w:r>
              <w:rPr>
                <w:sz w:val="17"/>
              </w:rPr>
              <w:t>Assess safety</w:t>
            </w:r>
          </w:p>
        </w:tc>
        <w:tc>
          <w:tcPr>
            <w:tcW w:type="dxa" w:w="4824"/>
          </w:tcPr>
          <w:p>
            <w:r>
              <w:rPr>
                <w:sz w:val="17"/>
              </w:rPr>
              <w:t>Safety reads green here on reporting compliance — 3 seven-day and 41 fifteen-day reports, all on time. Whether the safety PROFILE is acceptable is the DMC’s judgment, and the Committee is told almost nothing about it by design.</w:t>
            </w:r>
          </w:p>
        </w:tc>
      </w:tr>
      <w:tr>
        <w:tc>
          <w:tcPr>
            <w:tcW w:type="dxa" w:w="4824"/>
          </w:tcPr>
          <w:p>
            <w:r>
              <w:rPr>
                <w:sz w:val="17"/>
              </w:rPr>
              <w:t>Replace escalation</w:t>
            </w:r>
          </w:p>
        </w:tc>
        <w:tc>
          <w:tcPr>
            <w:tcW w:type="dxa" w:w="4824"/>
          </w:tcPr>
          <w:p>
            <w:r>
              <w:rPr>
                <w:sz w:val="17"/>
              </w:rPr>
              <w:t>Anything that cannot wait for the next report should not be in the next report. The monthly cycle is a floor on communication, not a ceiling.</w:t>
            </w:r>
          </w:p>
        </w:tc>
      </w:tr>
      <w:tr>
        <w:tc>
          <w:tcPr>
            <w:tcW w:type="dxa" w:w="4824"/>
          </w:tcPr>
          <w:p>
            <w:r>
              <w:rPr>
                <w:sz w:val="17"/>
              </w:rPr>
              <w:t>Report on the vendor's internal health</w:t>
            </w:r>
          </w:p>
        </w:tc>
        <w:tc>
          <w:tcPr>
            <w:tcW w:type="dxa" w:w="4824"/>
          </w:tcPr>
          <w:p>
            <w:r>
              <w:rPr>
                <w:sz w:val="17"/>
              </w:rPr>
              <w:t>Meridian owes deliverables and service levels. Their staffing, morale and internal schedule are visible only through performance data and audit rights — see the CRO Oversight Plan.</w:t>
            </w:r>
          </w:p>
        </w:tc>
      </w:tr>
    </w:tbl>
    <w:p/>
    <w:p>
      <w:pPr>
        <w:spacing w:before="120"/>
        <w:ind w:left="360"/>
      </w:pPr>
      <w:r>
        <w:rPr>
          <w:i/>
          <w:color w:val="12304A"/>
          <w:sz w:val="20"/>
        </w:rPr>
        <w:t>The report is written by the person whose performance it describes.</w:t>
      </w:r>
    </w:p>
    <w:p>
      <w:pPr>
        <w:spacing w:before="120"/>
        <w:ind w:left="360"/>
      </w:pPr>
      <w:r>
        <w:rPr>
          <w:i/>
          <w:color w:val="12304A"/>
          <w:sz w:val="20"/>
        </w:rPr>
        <w:t>That is unavoidable and worth naming. The defenses are structural rather than personal: the RAG rule was fixed before the period, the escalation to red is automatic, the actual costs come from finance rather than from the program, and every red must carry a decision request. None of those depend on the Program Director being candid on the day.</w:t>
      </w:r>
    </w:p>
    <w:p>
      <w:pPr>
        <w:spacing w:before="120"/>
        <w:ind w:left="360"/>
      </w:pPr>
      <w:r>
        <w:rPr>
          <w:i/>
          <w:color w:val="12304A"/>
          <w:sz w:val="20"/>
        </w:rPr>
        <w:t>A reporting system that works only when the reporter is honest is not a reporting system. It is a character reference.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