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b/>
          <w:color w:val="1B3A6B"/>
          <w:sz w:val="40"/>
        </w:rPr>
        <w:t>BUSINESS REQUIREMENTS DOCUMENT</w:t>
      </w:r>
    </w:p>
    <w:p>
      <w:pPr>
        <w:spacing w:before="0" w:after="40"/>
      </w:pPr>
      <w:r>
        <w:rPr>
          <w:b w:val="0"/>
          <w:color w:val="2B5C8A"/>
          <w:sz w:val="22"/>
        </w:rPr>
        <w:t>Enrollment &amp; Claims Platform Modernization — PM/Healthcare Suite</w:t>
      </w:r>
    </w:p>
    <w:p>
      <w:pPr>
        <w:spacing w:before="0" w:after="200"/>
      </w:pPr>
      <w:r>
        <w:rPr>
          <w:b w:val="0"/>
          <w:color w:val="5B6472"/>
          <w:sz w:val="19"/>
        </w:rPr>
        <w:t>ACME Highland Health  |  Pulaski Advisory Group  |  $99M · 262 people · 36.5 months</w:t>
      </w:r>
    </w:p>
    <w:p>
      <w:r>
        <w:rPr/>
        <w:t xml:space="preserve">The authoritative statement of </w:t>
      </w:r>
      <w:r>
        <w:rPr>
          <w:i/>
        </w:rPr>
        <w:t>what the business needs</w:t>
      </w:r>
      <w:r>
        <w:rPr/>
        <w:t xml:space="preserve"> from this program and </w:t>
      </w:r>
      <w:r>
        <w:rPr>
          <w:i/>
        </w:rPr>
        <w:t>why</w:t>
      </w:r>
      <w:r>
        <w:rPr/>
        <w:t xml:space="preserve"> — the document every downstream artifact traces back to. Requirements are classified using the </w:t>
      </w:r>
      <w:r>
        <w:rPr>
          <w:b/>
        </w:rPr>
        <w:t xml:space="preserve">PMBOK® Guide §5.2 </w:t>
      </w:r>
      <w:r>
        <w:rPr>
          <w:b/>
          <w:i/>
        </w:rPr>
        <w:t>Collect Requirements</w:t>
      </w:r>
      <w:r>
        <w:rPr/>
        <w:t xml:space="preserve"> schema: business, stakeholder, solution (functional and non-functional), and transition requirements — the same classification set out in the IIBA </w:t>
      </w:r>
      <w:r>
        <w:rPr>
          <w:i/>
        </w:rPr>
        <w:t>BABOK</w:t>
      </w:r>
      <w:r>
        <w:rPr/>
        <w:t xml:space="preserve"> Guide, from which PMI adopted it. Baselined at the </w:t>
      </w:r>
      <w:r>
        <w:rPr>
          <w:b/>
        </w:rPr>
        <w:t>Requirements &amp; Vendor Selection Complete</w:t>
      </w:r>
      <w:r>
        <w:rPr/>
        <w:t xml:space="preserve"> milestone (3 November 2026); changes after that date follow formal </w:t>
      </w:r>
      <w:r>
        <w:rPr>
          <w:color w:val="2B5C8A"/>
        </w:rPr>
        <w:t>change control</w:t>
      </w:r>
      <w:r>
        <w:rPr/>
        <w:t>.</w:t>
      </w:r>
    </w:p>
    <w:p>
      <w:pPr>
        <w:pStyle w:val="Heading2"/>
      </w:pPr>
      <w:r>
        <w:rPr>
          <w:color w:val="1B3A6B"/>
        </w:rPr>
        <w:t>01 Document Control &amp; Purpose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Attribute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Detail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Document owner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F. Jones — Lead Business Analyst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Accountable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C. Tyrrell — Program Manager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Contributing analysts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M. Ferraro (Underwriting/Billing), T. Whitaker (Claims/Commission), R. Okonkwo (Data Warehouse/Payment)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Baseline milestone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Requirements &amp; Vendor Selection Complete — 03 Nov 2026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Change authority after baseline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Change Control Board via the </w:t>
            </w:r>
            <w:r>
              <w:rPr>
                <w:color w:val="2B5C8A"/>
                <w:sz w:val="18"/>
              </w:rPr>
              <w:t>Change Control Log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Downstream consumers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Vendor SOW &amp; configuration, </w:t>
            </w:r>
            <w:r>
              <w:rPr>
                <w:color w:val="2B5C8A"/>
                <w:sz w:val="18"/>
              </w:rPr>
              <w:t>Test &amp; Quality Strategy</w:t>
            </w:r>
            <w:r>
              <w:rPr>
                <w:sz w:val="18"/>
              </w:rPr>
              <w:t xml:space="preserve">, UAT scenarios, training curriculum, </w:t>
            </w:r>
            <w:r>
              <w:rPr>
                <w:color w:val="2B5C8A"/>
                <w:sz w:val="18"/>
              </w:rPr>
              <w:t>WBS</w:t>
            </w:r>
          </w:p>
        </w:tc>
      </w:tr>
    </w:tbl>
    <w:p/>
    <w:p>
      <w:r>
        <w:rPr/>
        <w:t xml:space="preserve">This BRD states requirements in business terms and is deliberately </w:t>
      </w:r>
      <w:r>
        <w:rPr>
          <w:b/>
        </w:rPr>
        <w:t>design-agnostic</w:t>
      </w:r>
      <w:r>
        <w:rPr/>
        <w:t xml:space="preserve">: it defines </w:t>
      </w:r>
      <w:r>
        <w:rPr>
          <w:i/>
        </w:rPr>
        <w:t>what</w:t>
      </w:r>
      <w:r>
        <w:rPr/>
        <w:t xml:space="preserve"> must be true of the solution and </w:t>
      </w:r>
      <w:r>
        <w:rPr>
          <w:i/>
        </w:rPr>
        <w:t>why</w:t>
      </w:r>
      <w:r>
        <w:rPr/>
        <w:t xml:space="preserve">, not </w:t>
      </w:r>
      <w:r>
        <w:rPr>
          <w:i/>
        </w:rPr>
        <w:t>how</w:t>
      </w:r>
      <w:r>
        <w:rPr/>
        <w:t xml:space="preserve"> the vendor's platform will achieve it. Configuration and technical design decisions belong to the Solution Architect and the vendor, traced back to the requirements below.</w:t>
      </w:r>
    </w:p>
    <w:p>
      <w:pPr>
        <w:pStyle w:val="Heading2"/>
      </w:pPr>
      <w:r>
        <w:rPr>
          <w:color w:val="1B3A6B"/>
        </w:rPr>
        <w:t>02 Executive Summary</w:t>
      </w:r>
    </w:p>
    <w:p>
      <w:r>
        <w:rPr/>
        <w:t xml:space="preserve">The organization's enrollment and claims platform has reached the end of its vendor-supported life. The vendor has announced end-of-support, and the platform cannot be extended past that date. This is therefore a </w:t>
      </w:r>
      <w:r>
        <w:rPr>
          <w:b/>
        </w:rPr>
        <w:t>mandatory replacement</w:t>
      </w:r>
      <w:r>
        <w:rPr/>
        <w:t>, not a discretionary modernization — a distinction that shapes every requirement and prioritization decision in this document.</w:t>
      </w:r>
    </w:p>
    <w:p>
      <w:r>
        <w:rPr/>
        <w:t xml:space="preserve">The program delivers a vendor-delivered core platform upgrade, conversion of member, policy, provider/producer and historical claims data, and re-establishment of six downstream integrations. Go-Live is targeted for </w:t>
      </w:r>
      <w:r>
        <w:rPr>
          <w:b/>
        </w:rPr>
        <w:t>24 August 2027</w:t>
      </w:r>
      <w:r>
        <w:rPr/>
        <w:t>, ahead of the following open-enrollment period.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The requirement that governs all others.</w:t>
            </w:r>
            <w:r>
              <w:rPr/>
              <w:t xml:space="preserve"> Continuity of business operation is not one requirement among many — it is the condition under which every other requirement is judged. A health plan that cannot enroll members or adjudicate claims on the day after cutover has failed regardless of how much new functionality it gained. Requirements are prioritized accordingly: continuity first, parity second, improvement third.</w:t>
            </w:r>
          </w:p>
        </w:tc>
      </w:tr>
    </w:tbl>
    <w:p/>
    <w:p>
      <w:pPr>
        <w:pStyle w:val="Heading2"/>
      </w:pPr>
      <w:r>
        <w:rPr>
          <w:color w:val="1B3A6B"/>
        </w:rPr>
        <w:t>03 Business Context &amp; Drivers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Driver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Consequence of inaction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Vendor end-of-support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incumbent platform version passes end-of-support; no security patching, regulatory updates or defect remediation after that date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Unsupported system of record for regulated healthcare data — unacceptable to Compliance and Internal Audit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Capacity &amp; volume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current system can no longer efficiently support transaction volume and integration load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Degrading performance during enrollment peaks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Integration burden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Point-to-point interfaces to six downstream systems are increasingly costly to maintain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Rising run cost and change lead time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Regulatory currency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State filing and reporting requirements continue to evolve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Compliance exposure without vendor-supplied regulatory updates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Why the business case reads the way it does.</w:t>
            </w:r>
            <w:r>
              <w:rPr/>
              <w:t xml:space="preserve"> The </w:t>
            </w:r>
            <w:r>
              <w:rPr>
                <w:color w:val="2B5C8A"/>
              </w:rPr>
              <w:t>Cost-Benefit Analysis</w:t>
            </w:r>
            <w:r>
              <w:rPr/>
              <w:t xml:space="preserve"> shows a negative 10-year NPV, and that is presented rather than adjusted. When replacement is mandatory, the CBA's job is not to prove the investment clears a hurdle — it is to demonstrate that the chosen scope is the most cost-effective way to satisfy an obligation the organization cannot avoid. This BRD's scope discipline is what that argument rests on.</w:t>
            </w:r>
          </w:p>
        </w:tc>
      </w:tr>
    </w:tbl>
    <w:p/>
    <w:p>
      <w:pPr>
        <w:pStyle w:val="Heading2"/>
      </w:pPr>
      <w:r>
        <w:rPr>
          <w:color w:val="1B3A6B"/>
        </w:rPr>
        <w:t>04 Business Objectives &amp; Success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Objective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Success measure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Measured when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Exit unsupported software before end-of-support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Production cutover complete on the supported platform version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Go-Live, 24 Aug 2027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Preserve uninterrupted enrollment and claims operation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No business-day outage beyond the agreed cutover window; no missed claims payment cycle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Cutover + 30 days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Convert historical data completely and accurately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100% record and financial control-total reconciliation; zero unexplained variance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Data Conversion Sign-off, 16 Mar 2027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Re-establish all six downstream integrations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All six operating in production with reconciled outputs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Go-Live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Maintain regulatory and financial-reporting integrity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SOX controls tested and evidenced; state reporting outputs verified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Pre-Go-Live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Transition the business, not just the system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Trained users operating unaided at the end of hypercare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Closeout, 02 Nov 2027</w:t>
            </w:r>
          </w:p>
        </w:tc>
      </w:tr>
    </w:tbl>
    <w:p/>
    <w:p>
      <w:pPr>
        <w:pStyle w:val="Heading2"/>
      </w:pPr>
      <w:r>
        <w:rPr>
          <w:color w:val="1B3A6B"/>
        </w:rPr>
        <w:t>05 Scope</w:t>
      </w:r>
    </w:p>
    <w:p>
      <w:pPr>
        <w:pStyle w:val="Heading3"/>
      </w:pPr>
      <w:r>
        <w:rPr>
          <w:color w:val="2B5C8A"/>
        </w:rPr>
        <w:t>Functional decomposition</w:t>
      </w:r>
    </w:p>
    <w:p>
      <w:pPr>
        <w:pStyle w:val="Heading3"/>
      </w:pPr>
      <w:r>
        <w:rPr>
          <w:color w:val="2B5C8A"/>
        </w:rPr>
        <w:t>In scope</w:t>
      </w:r>
    </w:p>
    <w:p>
      <w:pPr>
        <w:pStyle w:val="ListBullet"/>
      </w:pPr>
      <w:r>
        <w:rPr/>
        <w:t>Core platform version upgrade (vendor-delivered) and configuration to current business rules.</w:t>
      </w:r>
    </w:p>
    <w:p>
      <w:pPr>
        <w:pStyle w:val="ListBullet"/>
      </w:pPr>
      <w:r>
        <w:rPr/>
        <w:t>Conversion of member, policy, provider/producer and historical claims data from the legacy platform.</w:t>
      </w:r>
    </w:p>
    <w:p>
      <w:pPr>
        <w:pStyle w:val="ListBullet"/>
      </w:pPr>
      <w:r>
        <w:rPr/>
        <w:t>Six downstream integrations: Billing, Underwriting, Claims Administration, Commission Management, Data Warehouse/Reporting, Payment Processing.</w:t>
      </w:r>
    </w:p>
    <w:p>
      <w:pPr>
        <w:pStyle w:val="ListBullet"/>
      </w:pPr>
      <w:r>
        <w:rPr/>
        <w:t>Operational and regulatory reporting continuity.</w:t>
      </w:r>
    </w:p>
    <w:p>
      <w:pPr>
        <w:pStyle w:val="ListBullet"/>
      </w:pPr>
      <w:r>
        <w:rPr/>
        <w:t>User training, process documentation, cutover execution and legacy decommissioning planning.</w:t>
      </w:r>
    </w:p>
    <w:p>
      <w:pPr>
        <w:pStyle w:val="Heading3"/>
      </w:pPr>
      <w:r>
        <w:rPr>
          <w:color w:val="2B5C8A"/>
        </w:rPr>
        <w:t>Out of scope</w:t>
      </w:r>
    </w:p>
    <w:p>
      <w:pPr>
        <w:pStyle w:val="ListBullet"/>
      </w:pPr>
      <w:r>
        <w:rPr/>
        <w:t>New product lines, benefit designs or business capabilities not present in the legacy platform.</w:t>
      </w:r>
    </w:p>
    <w:p>
      <w:pPr>
        <w:pStyle w:val="ListBullet"/>
      </w:pPr>
      <w:r>
        <w:rPr/>
        <w:t>Re-engineering of downstream systems themselves beyond their interfaces.</w:t>
      </w:r>
    </w:p>
    <w:p>
      <w:pPr>
        <w:pStyle w:val="ListBullet"/>
      </w:pPr>
      <w:r>
        <w:rPr/>
        <w:t>Ongoing run-state production support beyond the vendor warranty period.</w:t>
      </w:r>
    </w:p>
    <w:p>
      <w:pPr>
        <w:pStyle w:val="ListBullet"/>
      </w:pPr>
      <w:r>
        <w:rPr/>
        <w:t>Member- or provider-facing portal redesign.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Scope discipline is the cost control.</w:t>
            </w:r>
            <w:r>
              <w:rPr/>
              <w:t xml:space="preserve"> On a mandatory replacement, the strongest pressure is to attach long-wanted enhancements to a programme that is happening anyway. Every such request is assessed against a single test: </w:t>
            </w:r>
            <w:r>
              <w:rPr>
                <w:i/>
              </w:rPr>
              <w:t>is this required to operate on the new platform, or is it an improvement that could be delivered separately afterwards?</w:t>
            </w:r>
            <w:r>
              <w:rPr/>
              <w:t xml:space="preserve"> Improvements are routed to the post-implementation backlog, not absorbed into the baseline.</w:t>
            </w:r>
          </w:p>
        </w:tc>
      </w:tr>
    </w:tbl>
    <w:p/>
    <w:p>
      <w:pPr>
        <w:pStyle w:val="Heading2"/>
      </w:pPr>
      <w:r>
        <w:rPr>
          <w:color w:val="1B3A6B"/>
        </w:rPr>
        <w:t>06 Stakeholders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Stakeholder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Interest in requirements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Role in this BRD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Executive Sponsor / Steering Committee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Business case, scope boundary, funding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Approves the baseline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C. Tyrrell — Program Manager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Deliverability within schedule and budget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Accountable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F. Jones — Lead Business Analyst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Completeness, clarity, traceability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Owns and authors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Enrollment Operations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Member and policy administration continuity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Provides and validates requirements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Claims Operations — D. Kessler (SME)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Adjudication behaviour and claims continuity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Provides requirements; UAT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Underwriting — M. Yamamoto (SME)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Rating inputs, policy issuance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Provides requirements; UAT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Finance &amp; Billing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Premium, invoicing, payment integrity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Provides requirements; validates control totals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G. Fenwick — Internal Audit / SOX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Financial-reporting controls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Approves control-related requirements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J. Albert — Solution Architect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Feasibility and solution design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Reviews for technical viability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W. Donnelly — Vendor / Procurement Manager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Requirements that bind the vendor SOW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Translates into contractual scope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L. Bergström — Change Manager (OCM)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Business impact and adoption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Owns transition requirements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Platform vendor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What must be configured and delivered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Consumes the baselined BRD</w:t>
            </w:r>
          </w:p>
        </w:tc>
      </w:tr>
    </w:tbl>
    <w:p/>
    <w:p>
      <w:pPr>
        <w:pStyle w:val="Heading2"/>
      </w:pPr>
      <w:r>
        <w:rPr>
          <w:color w:val="1B3A6B"/>
        </w:rPr>
        <w:t>07 Current State &amp; Future State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Dimension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Current state (as-is)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Future state (to-be)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Platform version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Approaching vendor end-of-support; no forward patching path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Vendor-supported current version with regulatory update stream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Data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Member, policy, provider and claims history in the legacy platform, with known duplication in historical claims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Converted, de-duplicated and reconciled on the upgraded platform, with full audit trail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Integrations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Six point-to-point interfaces, individually maintained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Six interfaces re-established against the upgraded platform, documented and testable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Reporting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Operational and regulatory reporting from the legacy platform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Equivalent reporting continuity, verified against legacy output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Operations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Staff trained on legacy screens and processes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Staff trained and operating unaided on the upgraded platform</w:t>
            </w:r>
          </w:p>
        </w:tc>
      </w:tr>
    </w:tbl>
    <w:p/>
    <w:p>
      <w:pPr>
        <w:pStyle w:val="Heading2"/>
      </w:pPr>
      <w:r>
        <w:rPr>
          <w:color w:val="1B3A6B"/>
        </w:rPr>
        <w:t>08 Requirements Elicitation Approach</w:t>
      </w:r>
    </w:p>
    <w:p>
      <w:r>
        <w:rPr/>
        <w:t>Requirements were elicited using a combination of techniques recognized by both the PMBOK® Guide and the BABOK Guide, chosen for what each surfaces reliably: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Technique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Applied to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Why chosen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Document analysis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Legacy configuration, existing interface specifications, regulatory filings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Establishes the baseline of what the system currently does — the de facto requirement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Stakeholder interviews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Enrollment, Claims, Underwriting, Finance leads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Surfaces intent and exception handling that documentation omits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Facilitated workshops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Cross-functional sessions per business domain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Resolves conflicting requirements between functions in the room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Observation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Enrollment and claims processing in operation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Reveals workarounds staff no longer consciously notice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Interface analysis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six downstream integrations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Exposes actual behaviour where specification and code disagree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Data profiling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Historical claims and member records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Converts assumptions about data quality into measured fact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Two elicitation findings changed the requirements.</w:t>
            </w:r>
            <w:r>
              <w:rPr/>
              <w:t xml:space="preserve"> Data profiling revealed higher-than-expected duplicate member records in historical claims (</w:t>
            </w:r>
            <w:r>
              <w:rPr>
                <w:b/>
              </w:rPr>
              <w:t>I-001</w:t>
            </w:r>
            <w:r>
              <w:rPr/>
              <w:t>), which created transition requirements for de-duplication rules and audit trail that had not been anticipated. Interface analysis found a discrepancy between the Commission Management integration specification and the legacy calculation logic (</w:t>
            </w:r>
            <w:r>
              <w:rPr>
                <w:b/>
              </w:rPr>
              <w:t>I-004</w:t>
            </w:r>
            <w:r>
              <w:rPr/>
              <w:t>) — the specification described what the system was believed to do, and the code did something else. Where the two disagree, the requirement is set by a documented business decision, not by defaulting to either source.</w:t>
            </w:r>
          </w:p>
        </w:tc>
      </w:tr>
    </w:tbl>
    <w:p/>
    <w:p>
      <w:pPr>
        <w:pStyle w:val="Heading2"/>
      </w:pPr>
      <w:r>
        <w:rPr>
          <w:color w:val="1B3A6B"/>
        </w:rPr>
        <w:t>09 Business Requirements BR</w:t>
      </w:r>
    </w:p>
    <w:p>
      <w:r>
        <w:rPr/>
        <w:t>Why the change is being made and how success will be assessed — the highest-level statement of need, from which all other requirements derive.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Requirement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Priority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Success measure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BR-001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organization must operate its enrollment and claims system of record on vendor-supported software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Cutover complete before end-of-support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BR-002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Business operations must continue without interruption through and after cutover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No outage beyond the agreed window; no missed payment cycle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BR-003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All member, policy, provider/producer and historical claims data must be retained and remain accessible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Full reconciliation at conversion sign-off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BR-004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Financial and regulatory reporting integrity must be preserved across the transition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SOX controls evidenced; state reporting verified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BR-005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organization must not increase its ongoing run cost as a result of the upgrade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Should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Run cost at or below baseline post-warranty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BR-006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Staff must be able to perform their work on the new platform without degradation in productivity after hypercare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Productivity at or above baseline at closeout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BR-007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legacy platform must be decommissioned once data retention obligations are satisfied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Should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Decommissioning plan approved; retention verified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BR-008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program must not introduce new business capability that was not present in the legacy platform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Scope boundary held; enhancements deferred to backlog</w:t>
            </w:r>
          </w:p>
        </w:tc>
      </w:tr>
    </w:tbl>
    <w:p/>
    <w:p>
      <w:pPr>
        <w:pStyle w:val="Heading2"/>
      </w:pPr>
      <w:r>
        <w:rPr>
          <w:color w:val="1B3A6B"/>
        </w:rPr>
        <w:t>10 Stakeholder Requirements SR</w:t>
      </w:r>
    </w:p>
    <w:p>
      <w:r>
        <w:rPr/>
        <w:t>Needs of specific stakeholder groups that the solution must satisfy in order to meet the business requirements above.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Stakeholder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Requirement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Priority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SR-001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Enrollment Operations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 be able to enroll, change and terminate member coverage with equivalent or fewer steps than the legacy platform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SR-002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Claims Operations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 be able to adjudicate, adjust and reverse claims with the same outcomes the legacy system produced for equivalent input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SR-003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Underwriting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 receive complete and timely risk data for rating and policy issuance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SR-004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Finance &amp; Billing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 be able to reconcile premium, claims payment and commission to the cent across the transition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SR-005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Internal Audit / SOX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 be able to evidence control operation over financial reporting and payment paths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SR-006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Customer Service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 be able to answer member and provider enquiries using converted history without recourse to the legacy system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SR-007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Compliance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 be able to produce required state filings and regulatory reports on schedule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</w:tbl>
    <w:p/>
    <w:p>
      <w:pPr>
        <w:pStyle w:val="Heading2"/>
      </w:pPr>
      <w:r>
        <w:rPr>
          <w:color w:val="1B3A6B"/>
        </w:rPr>
        <w:t>11 Solution Requirements — Functional FR</w:t>
      </w:r>
    </w:p>
    <w:p>
      <w:r>
        <w:rPr/>
        <w:t>Capabilities the solution must provide. Stated as business behaviour, not platform configuration.</w:t>
      </w:r>
    </w:p>
    <w:p>
      <w:pPr>
        <w:pStyle w:val="Heading3"/>
      </w:pPr>
      <w:r>
        <w:rPr>
          <w:color w:val="2B5C8A"/>
        </w:rPr>
        <w:t>Core platform &amp; administration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Requirement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Priority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Traces to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FR-001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solution shall administer member enrollment, changes, terminations and reinstatements, including retroactive effective dates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SR-001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FR-002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solution shall maintain policy, group and benefit-plan configuration equivalent to current production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SR-001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FR-003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solution shall maintain provider and producer records, including hierarchy and effective dating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SR-001, SR-003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FR-004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solution shall adjudicate claims according to configured benefit rules, producing the same outcome as legacy for equivalent input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SR-002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FR-005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solution shall support claim adjustment, reversal and reprocessing with full audit trail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SR-002, SR-005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FR-006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solution shall support coordination of benefits where more than one coverage applies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SR-002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FR-007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solution shall maintain accumulators (deductible, out-of-pocket) accurately across the conversion boundary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SR-002, BR-003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FR-008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solution shall provide role-based access aligned to current segregation-of-duties requirements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SR-005</w:t>
            </w:r>
          </w:p>
        </w:tc>
      </w:tr>
    </w:tbl>
    <w:p/>
    <w:p>
      <w:pPr>
        <w:pStyle w:val="Heading3"/>
      </w:pPr>
      <w:r>
        <w:rPr>
          <w:color w:val="2B5C8A"/>
        </w:rPr>
        <w:t>Integrations — six downstream systems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Requirement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Priority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Traces to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FR-009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Billing:</w:t>
            </w:r>
            <w:r>
              <w:rPr>
                <w:sz w:val="18"/>
              </w:rPr>
              <w:t xml:space="preserve"> the solution shall transmit premium and adjustment data sufficient for invoicing on the current cycle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SR-004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FR-010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Underwriting:</w:t>
            </w:r>
            <w:r>
              <w:rPr>
                <w:sz w:val="18"/>
              </w:rPr>
              <w:t xml:space="preserve"> the solution shall provide risk and policy data required for rating and issuance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SR-003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FR-011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Claims Administration:</w:t>
            </w:r>
            <w:r>
              <w:rPr>
                <w:sz w:val="18"/>
              </w:rPr>
              <w:t xml:space="preserve"> the solution shall exchange claim intake, status and adjudication data at current volume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SR-002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FR-012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Commission Management:</w:t>
            </w:r>
            <w:r>
              <w:rPr>
                <w:sz w:val="18"/>
              </w:rPr>
              <w:t xml:space="preserve"> the solution shall provide the data required to calculate and trigger producer commission payments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SR-004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FR-013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Data Warehouse / Reporting:</w:t>
            </w:r>
            <w:r>
              <w:rPr>
                <w:sz w:val="18"/>
              </w:rPr>
              <w:t xml:space="preserve"> the solution shall deliver extracts sufficient for operational and regulatory reporting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SR-007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FR-014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Payment Processing:</w:t>
            </w:r>
            <w:r>
              <w:rPr>
                <w:sz w:val="18"/>
              </w:rPr>
              <w:t xml:space="preserve"> the solution shall initiate payment instructions and consume payment status with full reconciliation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SR-004, SR-005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FR-015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Each interface shall handle failure conditions without silent data loss, with retry and exception reporting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BR-002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FR-016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Commission calculation behaviour shall follow the documented business decision where specification and legacy logic differ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SR-004 · issue I-004</w:t>
            </w:r>
          </w:p>
        </w:tc>
      </w:tr>
    </w:tbl>
    <w:p/>
    <w:p>
      <w:pPr>
        <w:pStyle w:val="Heading3"/>
      </w:pPr>
      <w:r>
        <w:rPr>
          <w:color w:val="2B5C8A"/>
        </w:rPr>
        <w:t>Reporting &amp; compliance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Requirement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Priority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Traces to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FR-017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solution shall produce all state-mandated filings and regulatory reports currently produced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SR-007, BR-004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FR-018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solution shall retain an auditable record of every financially material transaction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SR-005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FR-019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solution shall support enquiry against converted historical claims and enrollment data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SR-006, BR-003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FR-020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solution shall provide operational reporting equivalent to legacy for daily business management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Should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SR-001, SR-002</w:t>
            </w:r>
          </w:p>
        </w:tc>
      </w:tr>
    </w:tbl>
    <w:p/>
    <w:p>
      <w:pPr>
        <w:pStyle w:val="Heading2"/>
      </w:pPr>
      <w:r>
        <w:rPr>
          <w:color w:val="1B3A6B"/>
        </w:rPr>
        <w:t>12 Solution Requirements — Non-Functional NFR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Requirement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Priority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NFR-001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Performance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solution shall sustain peak open-enrollment concurrency without degradation beyond agreed response targets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NFR-002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Performance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Claims batch processing shall complete within the existing overnight window at current and projected volume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NFR-003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Availability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solution shall meet or exceed the availability the legacy platform provided during business hours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NFR-004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Recoverability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Backup, restore and failover shall be demonstrated by rehearsal before Go-Live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NFR-005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Security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PHI shall be encrypted in transit and at rest; access shall follow minimum-necessary principles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NFR-006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Privacy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solution shall maintain HIPAA-compliant audit logging of access to protected health information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NFR-007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Compliance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Controls over financial reporting and payment paths shall be testable and evidenced (SOX)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NFR-008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Data integrity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Financial control totals shall reconcile exactly between source and target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NFR-009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Retention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Data retention shall satisfy regulatory and contractual obligations for historical records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NFR-010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Supportability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The platform version shall remain within vendor support for the defined horizon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NFR-011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Usability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Common enrollment and claims tasks shall require no more user steps than the legacy equivalent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Should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NFR-012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Maintainability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Interfaces shall be documented to a standard permitting change without reverse engineering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Should</w:t>
            </w:r>
          </w:p>
        </w:tc>
      </w:tr>
    </w:tbl>
    <w:p/>
    <w:p>
      <w:pPr>
        <w:pStyle w:val="Heading2"/>
      </w:pPr>
      <w:r>
        <w:rPr>
          <w:color w:val="1B3A6B"/>
        </w:rPr>
        <w:t>13 Transition Requirements TR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Why this class matters here more than usual.</w:t>
            </w:r>
            <w:r>
              <w:rPr/>
              <w:t xml:space="preserve"> Transition requirements exist </w:t>
            </w:r>
            <w:r>
              <w:rPr>
                <w:i/>
              </w:rPr>
              <w:t>only during the change</w:t>
            </w:r>
            <w:r>
              <w:rPr/>
              <w:t xml:space="preserve"> and cease to apply once the organization reaches its future state. On most programs they are a footnote. On a mandatory platform replacement with a full data conversion, they are where the program actually succeeds or fails — and because they are temporary, they are the requirements most often left undocumented and therefore unfunded.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Requirement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Priority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Owner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TR-001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Historical member, policy, provider and claims data shall be converted with 100% record and control-total reconciliation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T. McCormick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TR-002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Duplicate member records identified during conversion shall be resolved by documented rule, with every merge auditable and reversible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T. McCormick · issue I-001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TR-003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Records that cannot be converted shall be quarantined, reported and owned — never silently dropped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T. McCormick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TR-004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Conversion shall be rehearsed at full volume prior to production execution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T. McCormick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TR-005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Legacy and new platform shall be run in parallel on representative transactions, with variances explained before cutover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R. Whitfield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TR-006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Conversion shall complete within the available cutover outage window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T. McCormick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TR-007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 tested rollback path shall exist up to the defined point of no return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M. Alvarez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TR-008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Affected staff shall be trained and assessed as competent before cutover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H. Osei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TR-009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Business process documentation shall be updated to reflect the new platform before Go-Live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L. Bergström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TR-010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Hypercare support shall be staffed at elevated levels for the defined period following cutover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C. Tyrrell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TR-011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Legacy platform access shall be retained read-only until data retention obligations are verified as satisfied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Should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M. Alvarez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TR-012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Members and providers shall be notified of any externally visible change in advance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Should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V. Alaoui</w:t>
            </w:r>
          </w:p>
        </w:tc>
      </w:tr>
    </w:tbl>
    <w:p/>
    <w:p>
      <w:pPr>
        <w:pStyle w:val="Heading2"/>
      </w:pPr>
      <w:r>
        <w:rPr>
          <w:color w:val="1B3A6B"/>
        </w:rPr>
        <w:t>14 Prioritization Method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Priority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Definition on this program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Treatment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Must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Required to operate the business on the new platform, or required by regulation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In baseline; cannot be descoped without Steering Committee decision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Should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Important for efficiency or maintainability, but the business can operate without it at Go-Live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In baseline; first candidates if schedule pressure requires descoping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Could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Desirable improvement with no operational dependency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Post-implementation backlog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Won't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Explicitly excluded from this program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Recorded so the decision is not relitigated</w:t>
            </w:r>
          </w:p>
        </w:tc>
      </w:tr>
    </w:tbl>
    <w:p/>
    <w:p>
      <w:r>
        <w:rPr/>
        <w:t>The Won't category is written down deliberately. On a mandatory replacement, the same enhancement requests resurface repeatedly; recording the decision and its date is what stops the scope boundary being renegotiated informally.</w:t>
      </w:r>
    </w:p>
    <w:p>
      <w:pPr>
        <w:pStyle w:val="Heading2"/>
      </w:pPr>
      <w:r>
        <w:rPr>
          <w:color w:val="1B3A6B"/>
        </w:rPr>
        <w:t>15 Assumptions, Constraints &amp; Dependencies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Type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Statement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Reference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Assumption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Existing network and security infrastructure supports the upgraded platform without separate capital investment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A-001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Assumption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Named resources are available at planned allocation; no extended unplanned absences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A-002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Assumption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The vendor's upgrade approach will not require a change to the underlying database platform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A-003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Assumption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Go-Live completes before the next open-enrollment period begins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A-004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Assumption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Cleansed historical claims data requires no legal/compliance review beyond scope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A-005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Constraint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Go-Live date is fixed by the open-enrollment calendar and cannot move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A-004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Constraint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Vendor-delivered scope is bounded by the vendor SOW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R-003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Constraint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PHI may not be accessed from offshore locations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Test Strategy §11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Dependency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Vendor SOW finalization gates environment provisioning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R-003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Dependency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Downstream system owners must be available for interface testing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Test Strategy §07</w:t>
            </w:r>
          </w:p>
        </w:tc>
      </w:tr>
    </w:tbl>
    <w:p/>
    <w:p>
      <w:pPr>
        <w:pStyle w:val="Heading2"/>
      </w:pPr>
      <w:r>
        <w:rPr>
          <w:color w:val="1B3A6B"/>
        </w:rPr>
        <w:t>16 Traceability</w:t>
      </w:r>
    </w:p>
    <w:p>
      <w:r>
        <w:rPr/>
        <w:t>Every requirement traces forward to the artifacts that implement and verify it. Traceability is maintained by the Lead Business Analyst and reviewed at each phase gate.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Requirement class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Traces forward to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Verified by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Business (BR)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Project Charter objectives; CBA benefit case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Benefits review at closeout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Stakeholder (SR)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UAT scenarios; training curriculum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UAT sign-off by the owning function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Functional (FR)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Vendor configuration; integration build; test cases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System and integration testing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Non-functional (NFR)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Architecture and infrastructure design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Performance, security and DR testing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Transition (TR)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Conversion plan; cutover plan; training plan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Conversion sign-off; parallel run; cutover rehearsal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Known gap, stated honestly.</w:t>
            </w:r>
            <w:r>
              <w:rPr/>
              <w:t xml:space="preserve"> The PMBOK® Guide names two outputs of </w:t>
            </w:r>
            <w:r>
              <w:rPr>
                <w:i/>
              </w:rPr>
              <w:t>Collect Requirements</w:t>
            </w:r>
            <w:r>
              <w:rPr/>
              <w:t xml:space="preserve">: requirements documentation (this document) and a </w:t>
            </w:r>
            <w:r>
              <w:rPr>
                <w:b/>
              </w:rPr>
              <w:t>Requirements Traceability Matrix</w:t>
            </w:r>
            <w:r>
              <w:rPr/>
              <w:t xml:space="preserve">. The RTM now exists as a maintained artifact — see the </w:t>
            </w:r>
            <w:r>
              <w:rPr>
                <w:color w:val="2B5C8A"/>
              </w:rPr>
              <w:t>Requirements Traceability Matrix</w:t>
            </w:r>
            <w:r>
              <w:rPr/>
              <w:t xml:space="preserve">, which is generated directly from this document and the </w:t>
            </w:r>
            <w:r>
              <w:rPr>
                <w:color w:val="2B5C8A"/>
              </w:rPr>
              <w:t>Functional Specification</w:t>
            </w:r>
            <w:r>
              <w:rPr/>
              <w:t xml:space="preserve"> so it cannot drift from them. Constructing it surfaced four functional requirements that were covered by specification but not explicitly traced; those traces have since been made explicit.</w:t>
            </w:r>
          </w:p>
        </w:tc>
      </w:tr>
    </w:tbl>
    <w:p/>
    <w:p>
      <w:pPr>
        <w:pStyle w:val="Heading2"/>
      </w:pPr>
      <w:r>
        <w:rPr>
          <w:color w:val="1B3A6B"/>
        </w:rPr>
        <w:t>17 Risks to Requirements Integrity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Risk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Effect on requirements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Mitigation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R-001</w:t>
            </w:r>
            <w:r>
              <w:rPr>
                <w:sz w:val="18"/>
              </w:rPr>
              <w:t xml:space="preserve"> — historical claims data quality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Transition requirements expand as conversion defects surface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Early profiling; pre-funded third dry run (D-002); TR-002/TR-003 written to anticipate it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R-004</w:t>
            </w:r>
            <w:r>
              <w:rPr>
                <w:sz w:val="18"/>
              </w:rPr>
              <w:t xml:space="preserve"> — mid-program regulatory change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New compliance requirements added after baseline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Regulatory monitoring; FR-017 scoped modularly so additions are contained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R-003</w:t>
            </w:r>
            <w:r>
              <w:rPr>
                <w:sz w:val="18"/>
              </w:rPr>
              <w:t xml:space="preserve"> — vendor SOW delay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Requirements cannot be bound contractually on schedule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Baseline held at 3 Nov 2026 regardless; SOW tracks the baseline, not the reverse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Scope pressure on a mandatory program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Enhancements absorbed into the baseline informally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MoSCoW with a recorded Won't list; change control after baseline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Specification/behaviour divergence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Requirements written from documents that misdescribe the legacy system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Interface analysis against observed behaviour (I-004 precedent)</w:t>
            </w:r>
          </w:p>
        </w:tc>
      </w:tr>
    </w:tbl>
    <w:p/>
    <w:p>
      <w:pPr>
        <w:pStyle w:val="Heading2"/>
      </w:pPr>
      <w:r>
        <w:rPr>
          <w:color w:val="1B3A6B"/>
        </w:rPr>
        <w:t>18 Approval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Role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Name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Approval basis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Date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Lead Business Analyst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F. Jones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Completeness and clarity of requirements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03 Nov 2026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Program Manager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C. Tyrrell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Deliverability within schedule and budget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03 Nov 2026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Solution Architect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J. Albert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Technical feasibility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03 Nov 2026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Internal Audit / SOX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G. Fenwick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Control and compliance requirements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03 Nov 2026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Vendor / Procurement Manager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W. Donnelly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Requirements are contractually bindable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03 Nov 2026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Executive Sponsor / Steering Committee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—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Business case and scope boundary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03 Nov 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Governing relationship.</w:t>
            </w:r>
            <w:r>
              <w:rPr/>
              <w:t xml:space="preserve"> This BRD is subordinate to the </w:t>
            </w:r>
            <w:r>
              <w:rPr>
                <w:color w:val="2B5C8A"/>
              </w:rPr>
              <w:t>Project Charter</w:t>
            </w:r>
            <w:r>
              <w:rPr/>
              <w:t xml:space="preserve"> and governs the vendor SOW scope, the </w:t>
            </w:r>
            <w:r>
              <w:rPr>
                <w:color w:val="2B5C8A"/>
              </w:rPr>
              <w:t>Test &amp; Quality Strategy</w:t>
            </w:r>
            <w:r>
              <w:rPr/>
              <w:t xml:space="preserve">, UAT scenarios and the training curriculum. After the 3 November 2026 baseline, all changes route through the </w:t>
            </w:r>
            <w:r>
              <w:rPr>
                <w:color w:val="2B5C8A"/>
              </w:rPr>
              <w:t>Change Control Log</w:t>
            </w:r>
            <w:r>
              <w:rPr/>
              <w:t xml:space="preserve"> — requirements are not amended in place.</w:t>
            </w:r>
          </w:p>
        </w:tc>
      </w:tr>
    </w:tbl>
    <w:p/>
    <w:p>
      <w:pPr>
        <w:spacing w:before="280"/>
      </w:pPr>
      <w:r>
        <w:rPr>
          <w:i/>
          <w:color w:val="5B6472"/>
          <w:sz w:val="16"/>
        </w:rPr>
        <w:t>Illustrative program data for a fictional engagement (Enrollment &amp; Claims Platform Modernization), created to demonstrate program-management and business-analysis practice. Requirements are classified using the PMBOK® Guide §5.2 schema (business, stakeholder, solution functional/non-functional, transition) — also set out in the IIBA BABOK Guide — and prioritized with MoSCoW. Named roles, milestone dates and RAIDD references (A-001–A-005, R-001, R-003, R-004, I-001, I-004, D-002) reconcile to the Resource Plan, Project Charter and RAIDD Log. Cross-references: Test &amp; Quality Strategy · Project Management Plan · Cost-Benefit Analysis.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