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12213B"/>
          <w:sz w:val="32"/>
          <w:szCs w:val="32"/>
        </w:rPr>
        <w:t xml:space="preserve">Project Closeout Report</w:t>
      </w:r>
    </w:p>
    <w:p>
      <w:pPr>
        <w:spacing w:after="100"/>
      </w:pPr>
      <w:r>
        <w:rPr>
          <w:i/>
          <w:iCs/>
          <w:color w:val="5B6472"/>
          <w:sz w:val="22"/>
          <w:szCs w:val="22"/>
        </w:rPr>
        <w:t xml:space="preserve">Enrollment &amp; Claims Platform Modernization</w:t>
      </w:r>
    </w:p>
    <w:p>
      <w:pPr>
        <w:spacing w:after="120"/>
      </w:pPr>
      <w:r>
        <w:rPr>
          <w:color w:val="5B6472"/>
          <w:sz w:val="20"/>
          <w:szCs w:val="20"/>
        </w:rPr>
        <w:t xml:space="preserve">ACME Company   |   Report Date: 05 Nov 2027   |   Prepared following formal Closeout (02 Nov 2027)</w:t>
      </w:r>
    </w:p>
    <w:p>
      <w:pPr>
        <w:pStyle w:val="Heading1"/>
        <w:spacing w:after="150" w:before="300"/>
      </w:pPr>
      <w:r>
        <w:t xml:space="preserve">1. Purpose &amp; Overview</w:t>
      </w:r>
    </w:p>
    <w:p>
      <w:pPr>
        <w:spacing w:after="120"/>
      </w:pPr>
      <w:r>
        <w:t xml:space="preserve">This report formally closes the Enrollment &amp; Claims Platform Modernization program, following the Executive Sponsor and Steering Committee's Go-Live authorization (24 Aug 2027) and completion of the post-implementation warranty period. It evaluates the program's success against the objectives set in the Project Charter, summarizes final cost and schedule performance, and hands over open items to operations.</w:t>
      </w:r>
    </w:p>
    <w:p>
      <w:pPr>
        <w:pStyle w:val="Heading2"/>
        <w:spacing w:after="150" w:before="300"/>
      </w:pPr>
      <w:r>
        <w:t xml:space="preserve">2. Performance Against Baseline</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3200"/>
        <w:gridCol w:w="2200"/>
        <w:gridCol w:w="2200"/>
        <w:gridCol w:w="1800"/>
      </w:tblGrid>
      <w:tr>
        <w:tc>
          <w:tcPr>
            <w:tcW w:type="dxa" w:w="3200"/>
            <w:shd w:fill="12213B" w:val="clear"/>
          </w:tcPr>
          <w:p>
            <w:r>
              <w:rPr>
                <w:b/>
                <w:bCs/>
                <w:color w:val="FFFFFF"/>
              </w:rPr>
              <w:t xml:space="preserve">Metric</w:t>
            </w:r>
          </w:p>
        </w:tc>
        <w:tc>
          <w:tcPr>
            <w:tcW w:type="dxa" w:w="2200"/>
            <w:shd w:fill="12213B" w:val="clear"/>
          </w:tcPr>
          <w:p>
            <w:r>
              <w:rPr>
                <w:b/>
                <w:bCs/>
                <w:color w:val="FFFFFF"/>
              </w:rPr>
              <w:t xml:space="preserve">Baseline</w:t>
            </w:r>
          </w:p>
        </w:tc>
        <w:tc>
          <w:tcPr>
            <w:tcW w:type="dxa" w:w="2200"/>
            <w:shd w:fill="12213B" w:val="clear"/>
          </w:tcPr>
          <w:p>
            <w:r>
              <w:rPr>
                <w:b/>
                <w:bCs/>
                <w:color w:val="FFFFFF"/>
              </w:rPr>
              <w:t xml:space="preserve">Actual</w:t>
            </w:r>
          </w:p>
        </w:tc>
        <w:tc>
          <w:tcPr>
            <w:tcW w:type="dxa" w:w="1800"/>
            <w:shd w:fill="12213B" w:val="clear"/>
          </w:tcPr>
          <w:p>
            <w:r>
              <w:rPr>
                <w:b/>
                <w:bCs/>
                <w:color w:val="FFFFFF"/>
              </w:rPr>
              <w:t xml:space="preserve">Result</w:t>
            </w:r>
          </w:p>
        </w:tc>
      </w:tr>
      <w:tr>
        <w:tc>
          <w:tcPr>
            <w:tcW w:type="dxa" w:w="3200"/>
          </w:tcPr>
          <w:p>
            <w:r>
              <w:rPr>
                <w:b w:val="false"/>
                <w:bCs w:val="false"/>
              </w:rPr>
              <w:t xml:space="preserve">Total Cost</w:t>
            </w:r>
          </w:p>
        </w:tc>
        <w:tc>
          <w:tcPr>
            <w:tcW w:type="dxa" w:w="2200"/>
          </w:tcPr>
          <w:p>
            <w:r>
              <w:rPr>
                <w:b w:val="false"/>
                <w:bCs w:val="false"/>
              </w:rPr>
              <w:t xml:space="preserve">$7,062,000</w:t>
            </w:r>
          </w:p>
        </w:tc>
        <w:tc>
          <w:tcPr>
            <w:tcW w:type="dxa" w:w="2200"/>
          </w:tcPr>
          <w:p>
            <w:r>
              <w:rPr>
                <w:b w:val="false"/>
                <w:bCs w:val="false"/>
              </w:rPr>
              <w:t xml:space="preserve">$7,210,000 (+2.1%)</w:t>
            </w:r>
          </w:p>
        </w:tc>
        <w:tc>
          <w:tcPr>
            <w:tcW w:type="dxa" w:w="1800"/>
          </w:tcPr>
          <w:p>
            <w:r>
              <w:rPr>
                <w:b w:val="false"/>
                <w:bCs w:val="false"/>
              </w:rPr>
              <w:t xml:space="preserve">Within contingency reserve</w:t>
            </w:r>
          </w:p>
        </w:tc>
      </w:tr>
      <w:tr>
        <w:tc>
          <w:tcPr>
            <w:tcW w:type="dxa" w:w="3200"/>
          </w:tcPr>
          <w:p>
            <w:r>
              <w:rPr>
                <w:b w:val="false"/>
                <w:bCs w:val="false"/>
              </w:rPr>
              <w:t xml:space="preserve">Go-Live Date</w:t>
            </w:r>
          </w:p>
        </w:tc>
        <w:tc>
          <w:tcPr>
            <w:tcW w:type="dxa" w:w="2200"/>
          </w:tcPr>
          <w:p>
            <w:r>
              <w:rPr>
                <w:b w:val="false"/>
                <w:bCs w:val="false"/>
              </w:rPr>
              <w:t xml:space="preserve">24 Aug 2027</w:t>
            </w:r>
          </w:p>
        </w:tc>
        <w:tc>
          <w:tcPr>
            <w:tcW w:type="dxa" w:w="2200"/>
          </w:tcPr>
          <w:p>
            <w:r>
              <w:rPr>
                <w:b w:val="false"/>
                <w:bCs w:val="false"/>
              </w:rPr>
              <w:t xml:space="preserve">24 Aug 2027</w:t>
            </w:r>
          </w:p>
        </w:tc>
        <w:tc>
          <w:tcPr>
            <w:tcW w:type="dxa" w:w="1800"/>
          </w:tcPr>
          <w:p>
            <w:r>
              <w:rPr>
                <w:b w:val="false"/>
                <w:bCs w:val="false"/>
              </w:rPr>
              <w:t xml:space="preserve">On schedule</w:t>
            </w:r>
          </w:p>
        </w:tc>
      </w:tr>
      <w:tr>
        <w:tc>
          <w:tcPr>
            <w:tcW w:type="dxa" w:w="3200"/>
          </w:tcPr>
          <w:p>
            <w:r>
              <w:rPr>
                <w:b w:val="false"/>
                <w:bCs w:val="false"/>
              </w:rPr>
              <w:t xml:space="preserve">Data Conversion Accuracy</w:t>
            </w:r>
          </w:p>
        </w:tc>
        <w:tc>
          <w:tcPr>
            <w:tcW w:type="dxa" w:w="2200"/>
          </w:tcPr>
          <w:p>
            <w:r>
              <w:rPr>
                <w:b w:val="false"/>
                <w:bCs w:val="false"/>
              </w:rPr>
              <w:t xml:space="preserve">≥99.5%</w:t>
            </w:r>
          </w:p>
        </w:tc>
        <w:tc>
          <w:tcPr>
            <w:tcW w:type="dxa" w:w="2200"/>
          </w:tcPr>
          <w:p>
            <w:r>
              <w:rPr>
                <w:b w:val="false"/>
                <w:bCs w:val="false"/>
              </w:rPr>
              <w:t xml:space="preserve">99.6%</w:t>
            </w:r>
          </w:p>
        </w:tc>
        <w:tc>
          <w:tcPr>
            <w:tcW w:type="dxa" w:w="1800"/>
          </w:tcPr>
          <w:p>
            <w:r>
              <w:rPr>
                <w:b w:val="false"/>
                <w:bCs w:val="false"/>
              </w:rPr>
              <w:t xml:space="preserve">Met</w:t>
            </w:r>
          </w:p>
        </w:tc>
      </w:tr>
      <w:tr>
        <w:tc>
          <w:tcPr>
            <w:tcW w:type="dxa" w:w="3200"/>
          </w:tcPr>
          <w:p>
            <w:r>
              <w:rPr>
                <w:b w:val="false"/>
                <w:bCs w:val="false"/>
              </w:rPr>
              <w:t xml:space="preserve">UAT Pass Rate (first cycle)</w:t>
            </w:r>
          </w:p>
        </w:tc>
        <w:tc>
          <w:tcPr>
            <w:tcW w:type="dxa" w:w="2200"/>
          </w:tcPr>
          <w:p>
            <w:r>
              <w:rPr>
                <w:b w:val="false"/>
                <w:bCs w:val="false"/>
              </w:rPr>
              <w:t xml:space="preserve">≥90%</w:t>
            </w:r>
          </w:p>
        </w:tc>
        <w:tc>
          <w:tcPr>
            <w:tcW w:type="dxa" w:w="2200"/>
          </w:tcPr>
          <w:p>
            <w:r>
              <w:rPr>
                <w:b w:val="false"/>
                <w:bCs w:val="false"/>
              </w:rPr>
              <w:t xml:space="preserve">93%</w:t>
            </w:r>
          </w:p>
        </w:tc>
        <w:tc>
          <w:tcPr>
            <w:tcW w:type="dxa" w:w="1800"/>
          </w:tcPr>
          <w:p>
            <w:r>
              <w:rPr>
                <w:b w:val="false"/>
                <w:bCs w:val="false"/>
              </w:rPr>
              <w:t xml:space="preserve">Met</w:t>
            </w:r>
          </w:p>
        </w:tc>
      </w:tr>
      <w:tr>
        <w:tc>
          <w:tcPr>
            <w:tcW w:type="dxa" w:w="3200"/>
          </w:tcPr>
          <w:p>
            <w:r>
              <w:rPr>
                <w:b w:val="false"/>
                <w:bCs w:val="false"/>
              </w:rPr>
              <w:t xml:space="preserve">Critical/High Security Findings at Go-Live</w:t>
            </w:r>
          </w:p>
        </w:tc>
        <w:tc>
          <w:tcPr>
            <w:tcW w:type="dxa" w:w="2200"/>
          </w:tcPr>
          <w:p>
            <w:r>
              <w:rPr>
                <w:b w:val="false"/>
                <w:bCs w:val="false"/>
              </w:rPr>
              <w:t xml:space="preserve">0</w:t>
            </w:r>
          </w:p>
        </w:tc>
        <w:tc>
          <w:tcPr>
            <w:tcW w:type="dxa" w:w="2200"/>
          </w:tcPr>
          <w:p>
            <w:r>
              <w:rPr>
                <w:b w:val="false"/>
                <w:bCs w:val="false"/>
              </w:rPr>
              <w:t xml:space="preserve">0</w:t>
            </w:r>
          </w:p>
        </w:tc>
        <w:tc>
          <w:tcPr>
            <w:tcW w:type="dxa" w:w="1800"/>
          </w:tcPr>
          <w:p>
            <w:r>
              <w:rPr>
                <w:b w:val="false"/>
                <w:bCs w:val="false"/>
              </w:rPr>
              <w:t xml:space="preserve">Met</w:t>
            </w:r>
          </w:p>
        </w:tc>
      </w:tr>
      <w:tr>
        <w:tc>
          <w:tcPr>
            <w:tcW w:type="dxa" w:w="3200"/>
          </w:tcPr>
          <w:p>
            <w:r>
              <w:rPr>
                <w:b w:val="false"/>
                <w:bCs w:val="false"/>
              </w:rPr>
              <w:t xml:space="preserve">Training Completion</w:t>
            </w:r>
          </w:p>
        </w:tc>
        <w:tc>
          <w:tcPr>
            <w:tcW w:type="dxa" w:w="2200"/>
          </w:tcPr>
          <w:p>
            <w:r>
              <w:rPr>
                <w:b w:val="false"/>
                <w:bCs w:val="false"/>
              </w:rPr>
              <w:t xml:space="preserve">≥95%</w:t>
            </w:r>
          </w:p>
        </w:tc>
        <w:tc>
          <w:tcPr>
            <w:tcW w:type="dxa" w:w="2200"/>
          </w:tcPr>
          <w:p>
            <w:r>
              <w:rPr>
                <w:b w:val="false"/>
                <w:bCs w:val="false"/>
              </w:rPr>
              <w:t xml:space="preserve">97%</w:t>
            </w:r>
          </w:p>
        </w:tc>
        <w:tc>
          <w:tcPr>
            <w:tcW w:type="dxa" w:w="1800"/>
          </w:tcPr>
          <w:p>
            <w:r>
              <w:rPr>
                <w:b w:val="false"/>
                <w:bCs w:val="false"/>
              </w:rPr>
              <w:t xml:space="preserve">Met</w:t>
            </w:r>
          </w:p>
        </w:tc>
      </w:tr>
      <w:tr>
        <w:tc>
          <w:tcPr>
            <w:tcW w:type="dxa" w:w="3200"/>
          </w:tcPr>
          <w:p>
            <w:r>
              <w:rPr>
                <w:b w:val="false"/>
                <w:bCs w:val="false"/>
              </w:rPr>
              <w:t xml:space="preserve">Hypercare Severity-1 Incidents</w:t>
            </w:r>
          </w:p>
        </w:tc>
        <w:tc>
          <w:tcPr>
            <w:tcW w:type="dxa" w:w="2200"/>
          </w:tcPr>
          <w:p>
            <w:r>
              <w:rPr>
                <w:b w:val="false"/>
                <w:bCs w:val="false"/>
              </w:rPr>
              <w:t xml:space="preserve">≤2</w:t>
            </w:r>
          </w:p>
        </w:tc>
        <w:tc>
          <w:tcPr>
            <w:tcW w:type="dxa" w:w="2200"/>
          </w:tcPr>
          <w:p>
            <w:r>
              <w:rPr>
                <w:b w:val="false"/>
                <w:bCs w:val="false"/>
              </w:rPr>
              <w:t xml:space="preserve">1</w:t>
            </w:r>
          </w:p>
        </w:tc>
        <w:tc>
          <w:tcPr>
            <w:tcW w:type="dxa" w:w="1800"/>
          </w:tcPr>
          <w:p>
            <w:r>
              <w:rPr>
                <w:b w:val="false"/>
                <w:bCs w:val="false"/>
              </w:rPr>
              <w:t xml:space="preserve">Met</w:t>
            </w:r>
          </w:p>
        </w:tc>
      </w:tr>
    </w:tbl>
    <w:p>
      <w:pPr>
        <w:spacing w:after="120"/>
      </w:pPr>
      <w:r>
        <w:rPr>
          <w:i/>
          <w:iCs/>
          <w:color w:val="5B6472"/>
          <w:sz w:val="20"/>
          <w:szCs w:val="20"/>
        </w:rPr>
        <w:t xml:space="preserve">Final Cost Performance Index: 0.979. R-001 (historical claims data quality — the program's highest-rated risk at Charter approval) was successfully managed through early profiling and automated cleansing; the reserved third Dry Run cycle (D-002) was not ultimately needed.</w:t>
      </w:r>
    </w:p>
    <w:p>
      <w:pPr>
        <w:pStyle w:val="Heading2"/>
        <w:spacing w:after="150" w:before="300"/>
      </w:pPr>
      <w:r>
        <w:t xml:space="preserve">3. Benefits Realization</w:t>
      </w:r>
    </w:p>
    <w:p>
      <w:pPr>
        <w:spacing w:after="120"/>
      </w:pPr>
      <w:r>
        <w:t xml:space="preserve">Per the Cost-Benefit Analysis, benefit realization ramps over the first two years post-Go-Live (50% Year 1, 80% Year 2, 100% from Year 3). As of this report, the program is one week past Go-Live — benefit tracking has not yet begun and is not expected to show meaningful results until the first full quarter of operation. The PMO will monitor realization against the CBA's model and report to the Steering Committee quarterly for the first two years.</w:t>
      </w:r>
    </w:p>
    <w:p>
      <w:pPr>
        <w:pStyle w:val="Heading2"/>
        <w:spacing w:after="150" w:before="300"/>
      </w:pPr>
      <w:r>
        <w:t xml:space="preserve">4. Deliverables &amp; Acceptance</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4700"/>
        <w:gridCol w:w="4700"/>
      </w:tblGrid>
      <w:tr>
        <w:tc>
          <w:tcPr>
            <w:tcW w:type="dxa" w:w="4700"/>
            <w:shd w:fill="12213B" w:val="clear"/>
          </w:tcPr>
          <w:p>
            <w:r>
              <w:rPr>
                <w:b/>
                <w:bCs/>
                <w:color w:val="FFFFFF"/>
              </w:rPr>
              <w:t xml:space="preserve">Deliverable</w:t>
            </w:r>
          </w:p>
        </w:tc>
        <w:tc>
          <w:tcPr>
            <w:tcW w:type="dxa" w:w="4700"/>
            <w:shd w:fill="12213B" w:val="clear"/>
          </w:tcPr>
          <w:p>
            <w:r>
              <w:rPr>
                <w:b/>
                <w:bCs/>
                <w:color w:val="FFFFFF"/>
              </w:rPr>
              <w:t xml:space="preserve">Acceptance</w:t>
            </w:r>
          </w:p>
        </w:tc>
      </w:tr>
      <w:tr>
        <w:tc>
          <w:tcPr>
            <w:tcW w:type="dxa" w:w="4700"/>
          </w:tcPr>
          <w:p>
            <w:r>
              <w:rPr>
                <w:b w:val="false"/>
                <w:bCs w:val="false"/>
              </w:rPr>
              <w:t xml:space="preserve">Platform Upgrade</w:t>
            </w:r>
          </w:p>
        </w:tc>
        <w:tc>
          <w:tcPr>
            <w:tcW w:type="dxa" w:w="4700"/>
          </w:tcPr>
          <w:p>
            <w:r>
              <w:rPr>
                <w:b w:val="false"/>
                <w:bCs w:val="false"/>
              </w:rPr>
              <w:t xml:space="preserve">Accepted — validated by System Upgrade Lead, signed off by Steering Committee (05 Jan 2027)</w:t>
            </w:r>
          </w:p>
        </w:tc>
      </w:tr>
      <w:tr>
        <w:tc>
          <w:tcPr>
            <w:tcW w:type="dxa" w:w="4700"/>
          </w:tcPr>
          <w:p>
            <w:r>
              <w:rPr>
                <w:b w:val="false"/>
                <w:bCs w:val="false"/>
              </w:rPr>
              <w:t xml:space="preserve">Data Conversion (member/policy, provider/producer, historical claims)</w:t>
            </w:r>
          </w:p>
        </w:tc>
        <w:tc>
          <w:tcPr>
            <w:tcW w:type="dxa" w:w="4700"/>
          </w:tcPr>
          <w:p>
            <w:r>
              <w:rPr>
                <w:b w:val="false"/>
                <w:bCs w:val="false"/>
              </w:rPr>
              <w:t xml:space="preserve">Accepted — 99.6% record-match accuracy, signed off by Steering Committee (16 Mar 2027)</w:t>
            </w:r>
          </w:p>
        </w:tc>
      </w:tr>
      <w:tr>
        <w:tc>
          <w:tcPr>
            <w:tcW w:type="dxa" w:w="4700"/>
          </w:tcPr>
          <w:p>
            <w:r>
              <w:rPr>
                <w:b w:val="false"/>
                <w:bCs w:val="false"/>
              </w:rPr>
              <w:t xml:space="preserve">Six System Integrations</w:t>
            </w:r>
          </w:p>
        </w:tc>
        <w:tc>
          <w:tcPr>
            <w:tcW w:type="dxa" w:w="4700"/>
          </w:tcPr>
          <w:p>
            <w:r>
              <w:rPr>
                <w:b w:val="false"/>
                <w:bCs w:val="false"/>
              </w:rPr>
              <w:t xml:space="preserve">Accepted — all passed integration testing (11 May 2027)</w:t>
            </w:r>
          </w:p>
        </w:tc>
      </w:tr>
      <w:tr>
        <w:tc>
          <w:tcPr>
            <w:tcW w:type="dxa" w:w="4700"/>
          </w:tcPr>
          <w:p>
            <w:r>
              <w:rPr>
                <w:b w:val="false"/>
                <w:bCs w:val="false"/>
              </w:rPr>
              <w:t xml:space="preserve">Security, Performance &amp; DR Testing</w:t>
            </w:r>
          </w:p>
        </w:tc>
        <w:tc>
          <w:tcPr>
            <w:tcW w:type="dxa" w:w="4700"/>
          </w:tcPr>
          <w:p>
            <w:r>
              <w:rPr>
                <w:b w:val="false"/>
                <w:bCs w:val="false"/>
              </w:rPr>
              <w:t xml:space="preserve">Accepted — zero open Critical/High findings at Go-Live</w:t>
            </w:r>
          </w:p>
        </w:tc>
      </w:tr>
      <w:tr>
        <w:tc>
          <w:tcPr>
            <w:tcW w:type="dxa" w:w="4700"/>
          </w:tcPr>
          <w:p>
            <w:r>
              <w:rPr>
                <w:b w:val="false"/>
                <w:bCs w:val="false"/>
              </w:rPr>
              <w:t xml:space="preserve">SOX Compliance Testing</w:t>
            </w:r>
          </w:p>
        </w:tc>
        <w:tc>
          <w:tcPr>
            <w:tcW w:type="dxa" w:w="4700"/>
          </w:tcPr>
          <w:p>
            <w:r>
              <w:rPr>
                <w:b w:val="false"/>
                <w:bCs w:val="false"/>
              </w:rPr>
              <w:t xml:space="preserve">Accepted — signed off by Chief Compliance Officer prior to Go-Live</w:t>
            </w:r>
          </w:p>
        </w:tc>
      </w:tr>
    </w:tbl>
    <w:p>
      <w:pPr>
        <w:pStyle w:val="Heading2"/>
        <w:spacing w:after="150" w:before="300"/>
      </w:pPr>
      <w:r>
        <w:t xml:space="preserve">5. Outstanding Items &amp; Follow-on Actions</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5700"/>
        <w:gridCol w:w="1900"/>
        <w:gridCol w:w="1800"/>
      </w:tblGrid>
      <w:tr>
        <w:tc>
          <w:tcPr>
            <w:tcW w:type="dxa" w:w="5700"/>
            <w:shd w:fill="12213B" w:val="clear"/>
          </w:tcPr>
          <w:p>
            <w:r>
              <w:rPr>
                <w:b/>
                <w:bCs/>
                <w:color w:val="FFFFFF"/>
              </w:rPr>
              <w:t xml:space="preserve">Item</w:t>
            </w:r>
          </w:p>
        </w:tc>
        <w:tc>
          <w:tcPr>
            <w:tcW w:type="dxa" w:w="1900"/>
            <w:shd w:fill="12213B" w:val="clear"/>
          </w:tcPr>
          <w:p>
            <w:r>
              <w:rPr>
                <w:b/>
                <w:bCs/>
                <w:color w:val="FFFFFF"/>
              </w:rPr>
              <w:t xml:space="preserve">Owner</w:t>
            </w:r>
          </w:p>
        </w:tc>
        <w:tc>
          <w:tcPr>
            <w:tcW w:type="dxa" w:w="1800"/>
            <w:shd w:fill="12213B" w:val="clear"/>
          </w:tcPr>
          <w:p>
            <w:r>
              <w:rPr>
                <w:b/>
                <w:bCs/>
                <w:color w:val="FFFFFF"/>
              </w:rPr>
              <w:t xml:space="preserve">Target</w:t>
            </w:r>
          </w:p>
        </w:tc>
      </w:tr>
      <w:tr>
        <w:tc>
          <w:tcPr>
            <w:tcW w:type="dxa" w:w="5700"/>
          </w:tcPr>
          <w:p>
            <w:r>
              <w:rPr>
                <w:b w:val="false"/>
                <w:bCs w:val="false"/>
              </w:rPr>
              <w:t xml:space="preserve">Full legacy system decommissioning (DEP-005) — warranty period complete, final teardown in progress</w:t>
            </w:r>
          </w:p>
        </w:tc>
        <w:tc>
          <w:tcPr>
            <w:tcW w:type="dxa" w:w="1900"/>
          </w:tcPr>
          <w:p>
            <w:r>
              <w:rPr>
                <w:b w:val="false"/>
                <w:bCs w:val="false"/>
              </w:rPr>
              <w:t xml:space="preserve">M. Alvarez</w:t>
            </w:r>
          </w:p>
        </w:tc>
        <w:tc>
          <w:tcPr>
            <w:tcW w:type="dxa" w:w="1800"/>
          </w:tcPr>
          <w:p>
            <w:r>
              <w:rPr>
                <w:b w:val="false"/>
                <w:bCs w:val="false"/>
              </w:rPr>
              <w:t xml:space="preserve">30 days post-Closeout</w:t>
            </w:r>
          </w:p>
        </w:tc>
      </w:tr>
    </w:tbl>
    <w:p>
      <w:pPr>
        <w:spacing w:after="120"/>
      </w:pPr>
      <w:r>
        <w:rPr>
          <w:i/>
          <w:iCs/>
          <w:color w:val="5B6472"/>
          <w:sz w:val="20"/>
          <w:szCs w:val="20"/>
        </w:rPr>
        <w:t xml:space="preserve">All other risks, issues, and dependencies tracked in the RAIDD Log are closed as of this report.</w:t>
      </w:r>
    </w:p>
    <w:p>
      <w:pPr>
        <w:pStyle w:val="Heading2"/>
        <w:spacing w:after="150" w:before="300"/>
      </w:pPr>
      <w:r>
        <w:t xml:space="preserve">6. Team Performance</w:t>
      </w:r>
    </w:p>
    <w:p>
      <w:pPr>
        <w:spacing w:after="120"/>
      </w:pPr>
      <w:r>
        <w:t xml:space="preserve">The program was delivered by a 20-person matrixed team spanning Core Delivery, Integration Development, Quality Assurance, Change &amp; Training, Compliance &amp; Governance, and Vendor/Procurement functions (see the Organizational Chart). The Program Manager recognizes the team's effective early response to the R-001 data quality risk and the successful dual-shore QA model adopted mid-program as particular contributors to the program's on-baseline finish.</w:t>
      </w:r>
    </w:p>
    <w:p>
      <w:pPr>
        <w:pStyle w:val="Heading2"/>
        <w:spacing w:after="150" w:before="300"/>
      </w:pPr>
      <w:r>
        <w:t xml:space="preserve">7. Lessons Learned Summary</w:t>
      </w:r>
    </w:p>
    <w:p>
      <w:pPr>
        <w:spacing w:after="120"/>
      </w:pPr>
      <w:r>
        <w:t xml:space="preserve">Eight lessons were formally captured across data quality, governance, compliance, resourcing, vendor management, risk management, change management, and schedule management. Full detail, including specific recommendations for future programs, is in the standalone Lessons Learned Register.</w:t>
      </w:r>
    </w:p>
    <w:p>
      <w:pPr>
        <w:pStyle w:val="Heading2"/>
        <w:spacing w:after="150" w:before="300"/>
      </w:pPr>
      <w:r>
        <w:t xml:space="preserve">8. Administrative Closure</w:t>
      </w:r>
    </w:p>
    <w:p>
      <w:pPr>
        <w:pStyle w:val="ListParagraph"/>
        <w:numPr>
          <w:ilvl w:val="0"/>
          <w:numId w:val="1"/>
        </w:numPr>
        <w:spacing w:after="100"/>
      </w:pPr>
      <w:r>
        <w:t xml:space="preserve">Final invoices reconciled and vendor contracts formally closed (Platform Upgrade and Integration Middleware vendors)</w:t>
      </w:r>
    </w:p>
    <w:p>
      <w:pPr>
        <w:pStyle w:val="ListParagraph"/>
        <w:numPr>
          <w:ilvl w:val="0"/>
          <w:numId w:val="1"/>
        </w:numPr>
        <w:spacing w:after="100"/>
      </w:pPr>
      <w:r>
        <w:t xml:space="preserve">All program documentation archived per PMO retention policy</w:t>
      </w:r>
    </w:p>
    <w:p>
      <w:pPr>
        <w:pStyle w:val="ListParagraph"/>
        <w:numPr>
          <w:ilvl w:val="0"/>
          <w:numId w:val="1"/>
        </w:numPr>
        <w:spacing w:after="100"/>
      </w:pPr>
      <w:r>
        <w:t xml:space="preserve">Matrixed resources released back to their home functional departments</w:t>
      </w:r>
    </w:p>
    <w:p>
      <w:pPr>
        <w:pStyle w:val="ListParagraph"/>
        <w:numPr>
          <w:ilvl w:val="0"/>
          <w:numId w:val="1"/>
        </w:numPr>
        <w:spacing w:after="100"/>
      </w:pPr>
      <w:r>
        <w:t xml:space="preserve">Production support responsibility formally transitioned to IT Operations following the warranty period</w:t>
      </w:r>
    </w:p>
    <w:p>
      <w:pPr>
        <w:pStyle w:val="Heading2"/>
        <w:spacing w:after="150" w:before="300"/>
      </w:pPr>
      <w:r>
        <w:t xml:space="preserve">9. Approval</w:t>
      </w:r>
    </w:p>
    <w:p>
      <w:pPr>
        <w:spacing w:after="120"/>
      </w:pPr>
      <w:r>
        <w:t xml:space="preserve">This report formally closes the Enrollment &amp; Claims Platform Modernization program.</w:t>
      </w:r>
    </w:p>
    <w:p>
      <w:pPr>
        <w:spacing w:before="300"/>
      </w:pPr>
      <w:r>
        <w:t xml:space="preserve">_________________________________          Date: ____________</w:t>
      </w:r>
    </w:p>
    <w:p>
      <w:pPr>
        <w:spacing w:after="120"/>
      </w:pPr>
      <w:r>
        <w:t xml:space="preserve">G. Whitfield, Executive Sponsor</w:t>
      </w:r>
    </w:p>
    <w:p>
      <w:pPr>
        <w:spacing w:before="200"/>
      </w:pPr>
      <w:r>
        <w:t xml:space="preserve">_________________________________          Date: ____________</w:t>
      </w:r>
    </w:p>
    <w:p>
      <w:pPr>
        <w:spacing w:after="120"/>
      </w:pPr>
      <w:r>
        <w:t xml:space="preserve">C. Tyrrell, Program Manager</w:t>
      </w:r>
    </w:p>
    <w:p>
      <w:pPr>
        <w:spacing w:before="300"/>
      </w:pPr>
      <w:r>
        <w:rPr>
          <w:i/>
          <w:iCs/>
          <w:color w:val="5B6472"/>
          <w:sz w:val="18"/>
          <w:szCs w:val="18"/>
        </w:rPr>
        <w:t xml:space="preserve">Illustrative program data — created to demonstrate PMBOK/PRINCE2-informed program closure practice, not a real client engagement.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2026-07-07T17:53:56.595Z</dcterms:created>
  <dcterms:modified xsi:type="dcterms:W3CDTF">2026-07-07T17:53:56.596Z</dcterms:modified>
</cp:coreProperties>
</file>

<file path=docProps/custom.xml><?xml version="1.0" encoding="utf-8"?>
<Properties xmlns="http://schemas.openxmlformats.org/officeDocument/2006/custom-properties" xmlns:vt="http://schemas.openxmlformats.org/officeDocument/2006/docPropsVTypes"/>
</file>