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Enrollment &amp; Claims Platform Modernization</w:t>
      </w:r>
    </w:p>
    <w:p>
      <w:r>
        <w:rPr>
          <w:b w:val="0"/>
          <w:i w:val="0"/>
        </w:rPr>
        <w:t xml:space="preserve">The single owning document for the production cutover of the Enrollment &amp; Claims platform — the sequenced runbook for the cutover weekend, the go/no-go decision at the point of no return, the tested rollback, the hypercare period that follows, and the member, provider and legacy-retention obligations that bracket it. This plan owns transition requirements </w:t>
      </w:r>
      <w:r>
        <w:rPr>
          <w:b/>
          <w:i w:val="0"/>
        </w:rPr>
        <w:t>TR-010, TR-011 and TR-012</w:t>
      </w:r>
      <w:r>
        <w:rPr>
          <w:b w:val="0"/>
          <w:i w:val="0"/>
        </w:rPr>
        <w:t xml:space="preserve">, and carries the operational runbook for </w:t>
      </w:r>
      <w:r>
        <w:rPr>
          <w:b/>
          <w:i w:val="0"/>
        </w:rPr>
        <w:t>TR-006 and TR-007</w:t>
      </w:r>
      <w:r>
        <w:rPr>
          <w:b w:val="0"/>
          <w:i w:val="0"/>
        </w:rPr>
        <w:t xml:space="preserve"> whose data-side rules live in the </w:t>
      </w:r>
      <w:r>
        <w:rPr>
          <w:b w:val="0"/>
          <w:i w:val="0"/>
        </w:rPr>
        <w:t>Data Conversion Plan</w:t>
      </w:r>
      <w:r>
        <w:rPr>
          <w:b w:val="0"/>
          <w:i w:val="0"/>
        </w:rPr>
        <w:t xml:space="preserve">. It closes RTM gap </w:t>
      </w:r>
      <w:r>
        <w:rPr>
          <w:b/>
          <w:i w:val="0"/>
        </w:rPr>
        <w:t>G-02</w:t>
      </w:r>
      <w:r>
        <w:rPr>
          <w:b w:val="0"/>
          <w:i w:val="0"/>
        </w:rPr>
        <w:t>.</w:t>
      </w:r>
    </w:p>
    <w:p>
      <w:r>
        <w:rPr>
          <w:b w:val="0"/>
          <w:i w:val="0"/>
        </w:rPr>
        <w:t>1</w:t>
      </w:r>
      <w:r>
        <w:rPr>
          <w:b w:val="0"/>
          <w:i w:val="0"/>
        </w:rPr>
        <w:t>Cutover window (weekend)</w:t>
      </w:r>
    </w:p>
    <w:p>
      <w:r>
        <w:rPr>
          <w:b w:val="0"/>
          <w:i w:val="0"/>
        </w:rPr>
        <w:t>PONR</w:t>
      </w:r>
      <w:r>
        <w:rPr>
          <w:b w:val="0"/>
          <w:i w:val="0"/>
        </w:rPr>
        <w:t>Single point of no return</w:t>
      </w:r>
    </w:p>
    <w:p>
      <w:r>
        <w:rPr>
          <w:b w:val="0"/>
          <w:i w:val="0"/>
        </w:rPr>
        <w:t>TR-010</w:t>
      </w:r>
      <w:r>
        <w:rPr>
          <w:b w:val="0"/>
          <w:i w:val="0"/>
        </w:rPr>
        <w:t>Hypercare owned here</w:t>
      </w:r>
    </w:p>
    <w:p>
      <w:r>
        <w:rPr>
          <w:b w:val="0"/>
          <w:i w:val="0"/>
        </w:rPr>
        <w:t>24 Aug 2027</w:t>
      </w:r>
      <w:r>
        <w:rPr>
          <w:b w:val="0"/>
          <w:i w:val="0"/>
        </w:rPr>
        <w:t>Go-Live (production cutover)</w:t>
      </w:r>
    </w:p>
    <w:p>
      <w:r>
        <w:rPr>
          <w:b w:val="0"/>
          <w:i w:val="0"/>
        </w:rPr>
        <w:t>02 Nov 2027</w:t>
      </w:r>
      <w:r>
        <w:rPr>
          <w:b w:val="0"/>
          <w:i w:val="0"/>
        </w:rPr>
        <w:t>Support handover / closeout</w:t>
      </w:r>
    </w:p>
    <w:p>
      <w:pPr>
        <w:pStyle w:val="Heading1"/>
      </w:pPr>
      <w:r>
        <w:t>1 · Purpose and what this plan owns G-02</w:t>
      </w:r>
    </w:p>
    <w:p>
      <w:r>
        <w:rPr>
          <w:b w:val="0"/>
          <w:i w:val="0"/>
        </w:rPr>
        <w:t xml:space="preserve">The RTM records G-02 because the rollback, hypercare and cutover-window requirements had no single owning document — they were implied across the FSD, the Test Strategy and the schedule, but a cutover run from three documents at once is a cutover with no one holding the sequence. This plan is that document. It does not restate the data-conversion rules; those belong to the </w:t>
      </w:r>
      <w:r>
        <w:rPr>
          <w:b w:val="0"/>
          <w:i w:val="0"/>
        </w:rPr>
        <w:t>Data Conversion Plan</w:t>
      </w:r>
      <w:r>
        <w:rPr>
          <w:b w:val="0"/>
          <w:i w:val="0"/>
        </w:rPr>
        <w:t xml:space="preserve">. It owns what happens to the </w:t>
      </w:r>
      <w:r>
        <w:rPr>
          <w:b w:val="0"/>
          <w:i/>
        </w:rPr>
        <w:t>service</w:t>
      </w:r>
      <w:r>
        <w:rPr>
          <w:b w:val="0"/>
          <w:i w:val="0"/>
        </w:rPr>
        <w:t xml:space="preserve"> — the outage, the switch, the decision, the fallback, and the elevated-support period that catches what testing did not.</w:t>
      </w:r>
    </w:p>
    <w:p>
      <w:r>
        <w:rPr>
          <w:b w:val="0"/>
          <w:i w:val="0"/>
        </w:rPr>
        <w:t>Cutover is the moment a mandatory replacement concentrates all of its risk. Every earlier phase — requirements, build, conversion, testing — can be re-attempted at relatively low cost. Cutover cannot: it takes the live service offline, moves it, and turns it back on, and for a bounded window the organisation has no production platform at all. A program can absorb a slipped requirement or a failed test cycle; it cannot absorb a cutover that neither completes nor rolls back cleanly. That asymmetry — low-cost failure everywhere else, high-cost failure here — is why this plan is built around a single reversible decision and a rehearsed fallback rather than around a schedule, and why its readiness gate is the most demanding gate in the program.</w:t>
      </w:r>
    </w:p>
    <w:tbl>
      <w:tblPr>
        <w:tblStyle w:val="TableGrid"/>
        <w:tblW w:type="auto" w:w="0"/>
        <w:jc w:val="center"/>
        <w:tblLook w:firstColumn="1" w:firstRow="1" w:lastColumn="0" w:lastRow="0" w:noHBand="0" w:noVBand="1" w:val="04A0"/>
      </w:tblPr>
      <w:tblGrid>
        <w:gridCol w:w="3312"/>
        <w:gridCol w:w="3312"/>
        <w:gridCol w:w="3312"/>
      </w:tblGrid>
      <w:tr>
        <w:tc>
          <w:tcPr>
            <w:tcW w:type="dxa" w:w="3312"/>
          </w:tcPr>
          <w:p>
            <w:r>
              <w:rPr>
                <w:sz w:val="17"/>
              </w:rPr>
            </w:r>
            <w:r>
              <w:rPr>
                <w:b/>
                <w:i w:val="0"/>
                <w:sz w:val="17"/>
              </w:rPr>
              <w:t>This plan owns</w:t>
            </w:r>
          </w:p>
        </w:tc>
        <w:tc>
          <w:tcPr>
            <w:tcW w:type="dxa" w:w="3312"/>
          </w:tcPr>
          <w:p>
            <w:r>
              <w:rPr>
                <w:sz w:val="17"/>
              </w:rPr>
            </w:r>
            <w:r>
              <w:rPr>
                <w:b/>
                <w:i w:val="0"/>
                <w:sz w:val="17"/>
              </w:rPr>
              <w:t>Requirement</w:t>
            </w:r>
          </w:p>
        </w:tc>
        <w:tc>
          <w:tcPr>
            <w:tcW w:type="dxa" w:w="3312"/>
          </w:tcPr>
          <w:p>
            <w:r>
              <w:rPr>
                <w:sz w:val="17"/>
              </w:rPr>
            </w:r>
            <w:r>
              <w:rPr>
                <w:b/>
                <w:i w:val="0"/>
                <w:sz w:val="17"/>
              </w:rPr>
              <w:t>Owner</w:t>
            </w:r>
          </w:p>
        </w:tc>
      </w:tr>
      <w:tr>
        <w:tc>
          <w:tcPr>
            <w:tcW w:type="dxa" w:w="3312"/>
          </w:tcPr>
          <w:p>
            <w:r>
              <w:rPr>
                <w:sz w:val="17"/>
              </w:rPr>
            </w:r>
            <w:r>
              <w:rPr>
                <w:b w:val="0"/>
                <w:i w:val="0"/>
                <w:sz w:val="17"/>
              </w:rPr>
              <w:t>Cutover window</w:t>
            </w:r>
          </w:p>
        </w:tc>
        <w:tc>
          <w:tcPr>
            <w:tcW w:type="dxa" w:w="3312"/>
          </w:tcPr>
          <w:p>
            <w:r>
              <w:rPr>
                <w:sz w:val="17"/>
              </w:rPr>
            </w:r>
            <w:r>
              <w:rPr>
                <w:b/>
                <w:i w:val="0"/>
                <w:sz w:val="17"/>
              </w:rPr>
              <w:t>TR-006</w:t>
            </w:r>
            <w:r>
              <w:rPr>
                <w:b w:val="0"/>
                <w:i w:val="0"/>
                <w:sz w:val="17"/>
              </w:rPr>
              <w:t xml:space="preserve"> (runbook) — conversion completes within the available cutover outage window; this plan sequences the window, the Data Conversion Plan sizes it</w:t>
            </w:r>
          </w:p>
        </w:tc>
        <w:tc>
          <w:tcPr>
            <w:tcW w:type="dxa" w:w="3312"/>
          </w:tcPr>
          <w:p>
            <w:r>
              <w:rPr>
                <w:sz w:val="17"/>
              </w:rPr>
            </w:r>
            <w:r>
              <w:rPr>
                <w:b w:val="0"/>
                <w:i w:val="0"/>
                <w:sz w:val="17"/>
              </w:rPr>
              <w:t>C. Tyrrell / T. McCormick</w:t>
            </w:r>
          </w:p>
        </w:tc>
      </w:tr>
      <w:tr>
        <w:tc>
          <w:tcPr>
            <w:tcW w:type="dxa" w:w="3312"/>
          </w:tcPr>
          <w:p>
            <w:r>
              <w:rPr>
                <w:sz w:val="17"/>
              </w:rPr>
            </w:r>
            <w:r>
              <w:rPr>
                <w:b w:val="0"/>
                <w:i w:val="0"/>
                <w:sz w:val="17"/>
              </w:rPr>
              <w:t>Rollback</w:t>
            </w:r>
          </w:p>
        </w:tc>
        <w:tc>
          <w:tcPr>
            <w:tcW w:type="dxa" w:w="3312"/>
          </w:tcPr>
          <w:p>
            <w:r>
              <w:rPr>
                <w:sz w:val="17"/>
              </w:rPr>
            </w:r>
            <w:r>
              <w:rPr>
                <w:b/>
                <w:i w:val="0"/>
                <w:sz w:val="17"/>
              </w:rPr>
              <w:t>TR-007</w:t>
            </w:r>
            <w:r>
              <w:rPr>
                <w:b w:val="0"/>
                <w:i w:val="0"/>
                <w:sz w:val="17"/>
              </w:rPr>
              <w:t xml:space="preserve"> (runbook) — the tested rollback executed at the point of no return; this plan carries the operational steps</w:t>
            </w:r>
          </w:p>
        </w:tc>
        <w:tc>
          <w:tcPr>
            <w:tcW w:type="dxa" w:w="3312"/>
          </w:tcPr>
          <w:p>
            <w:r>
              <w:rPr>
                <w:sz w:val="17"/>
              </w:rPr>
            </w:r>
            <w:r>
              <w:rPr>
                <w:b w:val="0"/>
                <w:i w:val="0"/>
                <w:sz w:val="17"/>
              </w:rPr>
              <w:t>M. Alvarez</w:t>
            </w:r>
          </w:p>
        </w:tc>
      </w:tr>
      <w:tr>
        <w:tc>
          <w:tcPr>
            <w:tcW w:type="dxa" w:w="3312"/>
          </w:tcPr>
          <w:p>
            <w:r>
              <w:rPr>
                <w:sz w:val="17"/>
              </w:rPr>
            </w:r>
            <w:r>
              <w:rPr>
                <w:b w:val="0"/>
                <w:i w:val="0"/>
                <w:sz w:val="17"/>
              </w:rPr>
              <w:t>Hypercare</w:t>
            </w:r>
          </w:p>
        </w:tc>
        <w:tc>
          <w:tcPr>
            <w:tcW w:type="dxa" w:w="3312"/>
          </w:tcPr>
          <w:p>
            <w:r>
              <w:rPr>
                <w:sz w:val="17"/>
              </w:rPr>
            </w:r>
            <w:r>
              <w:rPr>
                <w:b/>
                <w:i w:val="0"/>
                <w:sz w:val="17"/>
              </w:rPr>
              <w:t>TR-010</w:t>
            </w:r>
            <w:r>
              <w:rPr>
                <w:b w:val="0"/>
                <w:i w:val="0"/>
                <w:sz w:val="17"/>
              </w:rPr>
              <w:t xml:space="preserve"> — hypercare support staffed at elevated levels for the defined period following cutover</w:t>
            </w:r>
          </w:p>
        </w:tc>
        <w:tc>
          <w:tcPr>
            <w:tcW w:type="dxa" w:w="3312"/>
          </w:tcPr>
          <w:p>
            <w:r>
              <w:rPr>
                <w:sz w:val="17"/>
              </w:rPr>
            </w:r>
            <w:r>
              <w:rPr>
                <w:b w:val="0"/>
                <w:i w:val="0"/>
                <w:sz w:val="17"/>
              </w:rPr>
              <w:t>C. Tyrrell</w:t>
            </w:r>
          </w:p>
        </w:tc>
      </w:tr>
      <w:tr>
        <w:tc>
          <w:tcPr>
            <w:tcW w:type="dxa" w:w="3312"/>
          </w:tcPr>
          <w:p>
            <w:r>
              <w:rPr>
                <w:sz w:val="17"/>
              </w:rPr>
            </w:r>
            <w:r>
              <w:rPr>
                <w:b w:val="0"/>
                <w:i w:val="0"/>
                <w:sz w:val="17"/>
              </w:rPr>
              <w:t>Legacy retention</w:t>
            </w:r>
          </w:p>
        </w:tc>
        <w:tc>
          <w:tcPr>
            <w:tcW w:type="dxa" w:w="3312"/>
          </w:tcPr>
          <w:p>
            <w:r>
              <w:rPr>
                <w:sz w:val="17"/>
              </w:rPr>
            </w:r>
            <w:r>
              <w:rPr>
                <w:b/>
                <w:i w:val="0"/>
                <w:sz w:val="17"/>
              </w:rPr>
              <w:t>TR-011</w:t>
            </w:r>
            <w:r>
              <w:rPr>
                <w:b w:val="0"/>
                <w:i w:val="0"/>
                <w:sz w:val="17"/>
              </w:rPr>
              <w:t xml:space="preserve"> — legacy platform access retained read-only until data-retention obligations are verified as satisfied</w:t>
            </w:r>
          </w:p>
        </w:tc>
        <w:tc>
          <w:tcPr>
            <w:tcW w:type="dxa" w:w="3312"/>
          </w:tcPr>
          <w:p>
            <w:r>
              <w:rPr>
                <w:sz w:val="17"/>
              </w:rPr>
            </w:r>
            <w:r>
              <w:rPr>
                <w:b w:val="0"/>
                <w:i w:val="0"/>
                <w:sz w:val="17"/>
              </w:rPr>
              <w:t>M. Alvarez</w:t>
            </w:r>
          </w:p>
        </w:tc>
      </w:tr>
      <w:tr>
        <w:tc>
          <w:tcPr>
            <w:tcW w:type="dxa" w:w="3312"/>
          </w:tcPr>
          <w:p>
            <w:r>
              <w:rPr>
                <w:sz w:val="17"/>
              </w:rPr>
            </w:r>
            <w:r>
              <w:rPr>
                <w:b w:val="0"/>
                <w:i w:val="0"/>
                <w:sz w:val="17"/>
              </w:rPr>
              <w:t>Notification</w:t>
            </w:r>
          </w:p>
        </w:tc>
        <w:tc>
          <w:tcPr>
            <w:tcW w:type="dxa" w:w="3312"/>
          </w:tcPr>
          <w:p>
            <w:r>
              <w:rPr>
                <w:sz w:val="17"/>
              </w:rPr>
            </w:r>
            <w:r>
              <w:rPr>
                <w:b/>
                <w:i w:val="0"/>
                <w:sz w:val="17"/>
              </w:rPr>
              <w:t>TR-012</w:t>
            </w:r>
            <w:r>
              <w:rPr>
                <w:b w:val="0"/>
                <w:i w:val="0"/>
                <w:sz w:val="17"/>
              </w:rPr>
              <w:t xml:space="preserve"> — members and providers notified of any externally visible change in advance</w:t>
            </w:r>
          </w:p>
        </w:tc>
        <w:tc>
          <w:tcPr>
            <w:tcW w:type="dxa" w:w="3312"/>
          </w:tcPr>
          <w:p>
            <w:r>
              <w:rPr>
                <w:sz w:val="17"/>
              </w:rPr>
            </w:r>
            <w:r>
              <w:rPr>
                <w:b w:val="0"/>
                <w:i w:val="0"/>
                <w:sz w:val="17"/>
              </w:rPr>
              <w:t>V. Alaoui</w:t>
            </w:r>
          </w:p>
        </w:tc>
      </w:tr>
    </w:tbl>
    <w:p/>
    <w:p>
      <w:pPr>
        <w:pStyle w:val="Heading1"/>
      </w:pPr>
      <w:r>
        <w:t>2 · Cutover readiness — the entry gate Go / no-go</w:t>
      </w:r>
    </w:p>
    <w:p>
      <w:r>
        <w:rPr>
          <w:b w:val="0"/>
          <w:i w:val="0"/>
        </w:rPr>
        <w:t>The cutover window does not open on schedule; it opens on readiness. A cutover begun before its preconditions are met is a cutover that discovers, mid-window, that it cannot complete or cannot roll back — the two worst outcomes. The readiness gate is checked at a formal go/no-go meeting before the window opens.</w:t>
      </w:r>
    </w:p>
    <w:tbl>
      <w:tblPr>
        <w:tblStyle w:val="TableGrid"/>
        <w:tblW w:type="auto" w:w="0"/>
        <w:jc w:val="center"/>
        <w:tblLook w:firstColumn="1" w:firstRow="1" w:lastColumn="0" w:lastRow="0" w:noHBand="0" w:noVBand="1" w:val="04A0"/>
      </w:tblPr>
      <w:tblGrid>
        <w:gridCol w:w="4968"/>
        <w:gridCol w:w="4968"/>
      </w:tblGrid>
      <w:tr>
        <w:tc>
          <w:tcPr>
            <w:tcW w:type="dxa" w:w="4968"/>
          </w:tcPr>
          <w:p>
            <w:r>
              <w:rPr>
                <w:sz w:val="17"/>
              </w:rPr>
            </w:r>
            <w:r>
              <w:rPr>
                <w:b/>
                <w:i w:val="0"/>
                <w:sz w:val="17"/>
              </w:rPr>
              <w:t>Precondition</w:t>
            </w:r>
          </w:p>
        </w:tc>
        <w:tc>
          <w:tcPr>
            <w:tcW w:type="dxa" w:w="4968"/>
          </w:tcPr>
          <w:p>
            <w:r>
              <w:rPr>
                <w:sz w:val="17"/>
              </w:rPr>
            </w:r>
            <w:r>
              <w:rPr>
                <w:b/>
                <w:i w:val="0"/>
                <w:sz w:val="17"/>
              </w:rPr>
              <w:t>Evidence required</w:t>
            </w:r>
          </w:p>
        </w:tc>
      </w:tr>
      <w:tr>
        <w:tc>
          <w:tcPr>
            <w:tcW w:type="dxa" w:w="4968"/>
          </w:tcPr>
          <w:p>
            <w:r>
              <w:rPr>
                <w:sz w:val="17"/>
              </w:rPr>
            </w:r>
            <w:r>
              <w:rPr>
                <w:b w:val="0"/>
                <w:i w:val="0"/>
                <w:sz w:val="17"/>
              </w:rPr>
              <w:t>Data Conversion Sign-off given</w:t>
            </w:r>
          </w:p>
        </w:tc>
        <w:tc>
          <w:tcPr>
            <w:tcW w:type="dxa" w:w="4968"/>
          </w:tcPr>
          <w:p>
            <w:r>
              <w:rPr>
                <w:sz w:val="17"/>
              </w:rPr>
            </w:r>
            <w:r>
              <w:rPr>
                <w:b w:val="0"/>
                <w:i w:val="0"/>
                <w:sz w:val="17"/>
              </w:rPr>
              <w:t xml:space="preserve">The 16 Mar 2027 sign-off from the </w:t>
            </w:r>
            <w:r>
              <w:rPr>
                <w:b w:val="0"/>
                <w:i w:val="0"/>
                <w:sz w:val="17"/>
              </w:rPr>
              <w:t>Data Conversion Plan</w:t>
            </w:r>
            <w:r>
              <w:rPr>
                <w:b w:val="0"/>
                <w:i w:val="0"/>
                <w:sz w:val="17"/>
              </w:rPr>
              <w:t xml:space="preserve"> — reconciliation closed, exceptions owned</w:t>
            </w:r>
          </w:p>
        </w:tc>
      </w:tr>
      <w:tr>
        <w:tc>
          <w:tcPr>
            <w:tcW w:type="dxa" w:w="4968"/>
          </w:tcPr>
          <w:p>
            <w:r>
              <w:rPr>
                <w:sz w:val="17"/>
              </w:rPr>
            </w:r>
            <w:r>
              <w:rPr>
                <w:b w:val="0"/>
                <w:i w:val="0"/>
                <w:sz w:val="17"/>
              </w:rPr>
              <w:t>UAT signed off</w:t>
            </w:r>
          </w:p>
        </w:tc>
        <w:tc>
          <w:tcPr>
            <w:tcW w:type="dxa" w:w="4968"/>
          </w:tcPr>
          <w:p>
            <w:r>
              <w:rPr>
                <w:sz w:val="17"/>
              </w:rPr>
            </w:r>
            <w:r>
              <w:rPr>
                <w:b w:val="0"/>
                <w:i w:val="0"/>
                <w:sz w:val="17"/>
              </w:rPr>
              <w:t>Testing Complete / UAT Sign-off (10 Aug 2027) — the business has accepted the platform</w:t>
            </w:r>
          </w:p>
        </w:tc>
      </w:tr>
      <w:tr>
        <w:tc>
          <w:tcPr>
            <w:tcW w:type="dxa" w:w="4968"/>
          </w:tcPr>
          <w:p>
            <w:r>
              <w:rPr>
                <w:sz w:val="17"/>
              </w:rPr>
            </w:r>
            <w:r>
              <w:rPr>
                <w:b w:val="0"/>
                <w:i w:val="0"/>
                <w:sz w:val="17"/>
              </w:rPr>
              <w:t>Rollback rehearsed</w:t>
            </w:r>
          </w:p>
        </w:tc>
        <w:tc>
          <w:tcPr>
            <w:tcW w:type="dxa" w:w="4968"/>
          </w:tcPr>
          <w:p>
            <w:r>
              <w:rPr>
                <w:sz w:val="17"/>
              </w:rPr>
            </w:r>
            <w:r>
              <w:rPr>
                <w:b w:val="0"/>
                <w:i w:val="0"/>
                <w:sz w:val="17"/>
              </w:rPr>
              <w:t>The rollback executed successfully in at least one dry run (TR-007) — not a first-time action under pressure</w:t>
            </w:r>
          </w:p>
        </w:tc>
      </w:tr>
      <w:tr>
        <w:tc>
          <w:tcPr>
            <w:tcW w:type="dxa" w:w="4968"/>
          </w:tcPr>
          <w:p>
            <w:r>
              <w:rPr>
                <w:sz w:val="17"/>
              </w:rPr>
            </w:r>
            <w:r>
              <w:rPr>
                <w:b w:val="0"/>
                <w:i w:val="0"/>
                <w:sz w:val="17"/>
              </w:rPr>
              <w:t>Staff trained</w:t>
            </w:r>
          </w:p>
        </w:tc>
        <w:tc>
          <w:tcPr>
            <w:tcW w:type="dxa" w:w="4968"/>
          </w:tcPr>
          <w:p>
            <w:r>
              <w:rPr>
                <w:sz w:val="17"/>
              </w:rPr>
            </w:r>
            <w:r>
              <w:rPr>
                <w:b w:val="0"/>
                <w:i w:val="0"/>
                <w:sz w:val="17"/>
              </w:rPr>
              <w:t xml:space="preserve">Competency confirmed by the </w:t>
            </w:r>
            <w:r>
              <w:rPr>
                <w:b w:val="0"/>
                <w:i w:val="0"/>
                <w:sz w:val="17"/>
              </w:rPr>
              <w:t>Training Plan</w:t>
            </w:r>
            <w:r>
              <w:rPr>
                <w:b w:val="0"/>
                <w:i w:val="0"/>
                <w:sz w:val="17"/>
              </w:rPr>
              <w:t xml:space="preserve"> (TR-008) — the people who operate the new platform on day one are ready</w:t>
            </w:r>
          </w:p>
        </w:tc>
      </w:tr>
      <w:tr>
        <w:tc>
          <w:tcPr>
            <w:tcW w:type="dxa" w:w="4968"/>
          </w:tcPr>
          <w:p>
            <w:r>
              <w:rPr>
                <w:sz w:val="17"/>
              </w:rPr>
            </w:r>
            <w:r>
              <w:rPr>
                <w:b w:val="0"/>
                <w:i w:val="0"/>
                <w:sz w:val="17"/>
              </w:rPr>
              <w:t>Notifications issued</w:t>
            </w:r>
          </w:p>
        </w:tc>
        <w:tc>
          <w:tcPr>
            <w:tcW w:type="dxa" w:w="4968"/>
          </w:tcPr>
          <w:p>
            <w:r>
              <w:rPr>
                <w:sz w:val="17"/>
              </w:rPr>
            </w:r>
            <w:r>
              <w:rPr>
                <w:b w:val="0"/>
                <w:i w:val="0"/>
                <w:sz w:val="17"/>
              </w:rPr>
              <w:t>TR-012 member and provider notifications sent in advance of the externally visible change</w:t>
            </w:r>
          </w:p>
        </w:tc>
      </w:tr>
      <w:tr>
        <w:tc>
          <w:tcPr>
            <w:tcW w:type="dxa" w:w="4968"/>
          </w:tcPr>
          <w:p>
            <w:r>
              <w:rPr>
                <w:sz w:val="17"/>
              </w:rPr>
            </w:r>
            <w:r>
              <w:rPr>
                <w:b w:val="0"/>
                <w:i w:val="0"/>
                <w:sz w:val="17"/>
              </w:rPr>
              <w:t>Hypercare staffed</w:t>
            </w:r>
          </w:p>
        </w:tc>
        <w:tc>
          <w:tcPr>
            <w:tcW w:type="dxa" w:w="4968"/>
          </w:tcPr>
          <w:p>
            <w:r>
              <w:rPr>
                <w:sz w:val="17"/>
              </w:rPr>
            </w:r>
            <w:r>
              <w:rPr>
                <w:b w:val="0"/>
                <w:i w:val="0"/>
                <w:sz w:val="17"/>
              </w:rPr>
              <w:t>Elevated-support roster confirmed and on-call for the window and the hypercare period</w:t>
            </w:r>
          </w:p>
        </w:tc>
      </w:tr>
    </w:tbl>
    <w:p/>
    <w:p>
      <w:r>
        <w:rPr>
          <w:b/>
          <w:i w:val="0"/>
        </w:rPr>
        <w:t>The gate is conjunctive.</w:t>
      </w:r>
      <w:r>
        <w:rPr>
          <w:b w:val="0"/>
          <w:i w:val="0"/>
        </w:rPr>
        <w:t xml:space="preserve"> Every precondition must be met; there is no partial go. A cutover with trained staff but an un-rehearsed rollback, or reconciled data but unissued notifications, is a no-go — because each missing precondition is a failure mode the window has no time to absorb. The go/no-go is chaired by the Program Manager (C. Tyrrell).</w:t>
      </w:r>
    </w:p>
    <w:p>
      <w:pPr>
        <w:pStyle w:val="Heading2"/>
      </w:pPr>
      <w:r>
        <w:t>Why a weekend window, and the change freeze that protects it</w:t>
      </w:r>
    </w:p>
    <w:p>
      <w:r>
        <w:rPr>
          <w:b w:val="0"/>
          <w:i w:val="0"/>
        </w:rPr>
        <w:t>The cutover is scheduled into a low-volume weekend window for one reason: the outage it requires is least disruptive when enrollment and claims traffic are lowest, and the time available to convert, validate and — if necessary — roll back is greatest. A weekday cutover would compress every phase of the §3 runbook against live business volume and leave no room for the point-of-no-return decision to go the wrong way. A change freeze is imposed on both platforms ahead of the window: no configuration or data changes are made to legacy once the extract snapshot is frozen, and none to the new platform once UAT is signed off, so that the thing tested is exactly the thing cut over. A late change slipped in "to be helpful" is a change that was never in any dry run — and the freeze exists precisely to stop it.</w:t>
      </w:r>
    </w:p>
    <w:p>
      <w:pPr>
        <w:pStyle w:val="Heading1"/>
      </w:pPr>
      <w:r>
        <w:t>3 · The cutover runbook TR-006 · TR-007</w:t>
      </w:r>
    </w:p>
    <w:p>
      <w:r>
        <w:rPr>
          <w:b w:val="0"/>
          <w:i w:val="0"/>
        </w:rPr>
        <w:t>The cutover executes as a sequenced runbook over the cutover weekend, timed against the conversion duration measured in Dry Run 2. Each phase has an owner and an explicit checkpoint; the runbook does not advance to the next phase until the current phase's checkpoint is confirmed.</w:t>
      </w:r>
    </w:p>
    <w:p>
      <w:r>
        <w:rPr>
          <w:b w:val="0"/>
          <w:i w:val="0"/>
        </w:rPr>
        <w:t>T-0 · Window opens</w:t>
      </w:r>
      <w:r>
        <w:rPr>
          <w:b/>
          <w:i w:val="0"/>
        </w:rPr>
        <w:t>Legacy taken offline.</w:t>
      </w:r>
      <w:r>
        <w:rPr>
          <w:b w:val="0"/>
          <w:i w:val="0"/>
        </w:rPr>
        <w:t xml:space="preserve"> The service is placed in planned outage; users are already notified (TR-012). The final extract against the frozen snapshot begins. Rollback posture: full — revert to legacy, zero data lost.</w:t>
      </w:r>
      <w:r>
        <w:rPr>
          <w:b w:val="0"/>
          <w:i w:val="0"/>
        </w:rPr>
        <w:t>Conversion executes</w:t>
      </w:r>
      <w:r>
        <w:rPr>
          <w:b/>
          <w:i w:val="0"/>
        </w:rPr>
        <w:t>Owner: T. McCormick.</w:t>
      </w:r>
      <w:r>
        <w:rPr>
          <w:b w:val="0"/>
          <w:i w:val="0"/>
        </w:rPr>
        <w:t xml:space="preserve"> The production conversion runs per the </w:t>
      </w:r>
      <w:r>
        <w:rPr>
          <w:b w:val="0"/>
          <w:i w:val="0"/>
        </w:rPr>
        <w:t>Data Conversion Plan</w:t>
      </w:r>
      <w:r>
        <w:rPr>
          <w:b w:val="0"/>
          <w:i w:val="0"/>
        </w:rPr>
        <w:t xml:space="preserve"> pipeline, timed against Dry Run 2. Progress is checkpointed against the window budget; a conversion tracking behind its rehearsed time is escalated before, not after, it threatens the window.</w:t>
      </w:r>
      <w:r>
        <w:rPr>
          <w:b w:val="0"/>
          <w:i w:val="0"/>
        </w:rPr>
        <w:t>Point of no return · go/no-go</w:t>
      </w:r>
      <w:r>
        <w:rPr>
          <w:b/>
          <w:i w:val="0"/>
        </w:rPr>
        <w:t>The single reversible decision.</w:t>
      </w:r>
      <w:r>
        <w:rPr>
          <w:b w:val="0"/>
          <w:i w:val="0"/>
        </w:rPr>
        <w:t xml:space="preserve"> Reconciliation identities are checked against loaded production data. </w:t>
      </w:r>
      <w:r>
        <w:rPr>
          <w:b/>
          <w:i w:val="0"/>
        </w:rPr>
        <w:t>Go:</w:t>
      </w:r>
      <w:r>
        <w:rPr>
          <w:b w:val="0"/>
          <w:i w:val="0"/>
        </w:rPr>
        <w:t xml:space="preserve"> identities close — the program commits, the rollback path is retired, and the runbook proceeds. </w:t>
      </w:r>
      <w:r>
        <w:rPr>
          <w:b/>
          <w:i w:val="0"/>
        </w:rPr>
        <w:t>No-go:</w:t>
      </w:r>
      <w:r>
        <w:rPr>
          <w:b w:val="0"/>
          <w:i w:val="0"/>
        </w:rPr>
        <w:t xml:space="preserve"> the rollback (below) is executed. This is the last moment the choice exists; after it, forward is the only direction.</w:t>
      </w:r>
      <w:r>
        <w:rPr>
          <w:b w:val="0"/>
          <w:i w:val="0"/>
        </w:rPr>
        <w:t>Validation &amp; smoke test</w:t>
      </w:r>
      <w:r>
        <w:rPr>
          <w:b/>
          <w:i w:val="0"/>
        </w:rPr>
        <w:t>Owner: R. Whitfield.</w:t>
      </w:r>
      <w:r>
        <w:rPr>
          <w:b w:val="0"/>
          <w:i w:val="0"/>
        </w:rPr>
        <w:t xml:space="preserve"> Post-cutover validation on production: a scripted smoke test of enrollment, claim adjudication drawing on a converted accumulator (FS-008), and the six integrations. A smoke-test failure here is a defect for hypercare, not a rollback trigger — the point of no return has passed.</w:t>
      </w:r>
      <w:r>
        <w:rPr>
          <w:b w:val="0"/>
          <w:i w:val="0"/>
        </w:rPr>
        <w:t>Go-Live · 24 Aug 2027</w:t>
      </w:r>
      <w:r>
        <w:rPr>
          <w:b/>
          <w:i w:val="0"/>
        </w:rPr>
        <w:t>Service restored on the new platform.</w:t>
      </w:r>
      <w:r>
        <w:rPr>
          <w:b w:val="0"/>
          <w:i w:val="0"/>
        </w:rPr>
        <w:t xml:space="preserve"> Live enrollment and claims traffic begins. Hypercare (§5) is active from this moment.</w:t>
      </w:r>
    </w:p>
    <w:p>
      <w:pPr>
        <w:pStyle w:val="Heading1"/>
      </w:pPr>
      <w:r>
        <w:t>4 · Rollback — the runbook for the decision that must never improvise TR-007</w:t>
      </w:r>
    </w:p>
    <w:p>
      <w:r>
        <w:rPr>
          <w:b w:val="0"/>
          <w:i w:val="0"/>
        </w:rPr>
        <w:t xml:space="preserve">The </w:t>
      </w:r>
      <w:r>
        <w:rPr>
          <w:b w:val="0"/>
          <w:i w:val="0"/>
        </w:rPr>
        <w:t>Data Conversion Plan</w:t>
      </w:r>
      <w:r>
        <w:rPr>
          <w:b w:val="0"/>
          <w:i w:val="0"/>
        </w:rPr>
        <w:t xml:space="preserve"> requires the rollback path to exist and be tested. This plan carries how it is </w:t>
      </w:r>
      <w:r>
        <w:rPr>
          <w:b w:val="0"/>
          <w:i/>
        </w:rPr>
        <w:t>executed</w:t>
      </w:r>
      <w:r>
        <w:rPr>
          <w:b w:val="0"/>
          <w:i w:val="0"/>
        </w:rPr>
        <w:t>. The rollback is available only up to the point of no return; its whole design purpose is to make reverting to legacy a practised, bounded action rather than a panic.</w:t>
      </w:r>
    </w:p>
    <w:p>
      <w:r>
        <w:rPr>
          <w:b w:val="0"/>
          <w:i w:val="0"/>
        </w:rPr>
        <w:t>1</w:t>
      </w:r>
      <w:r>
        <w:rPr>
          <w:b w:val="0"/>
          <w:i w:val="0"/>
        </w:rPr>
        <w:t>Decision</w:t>
      </w:r>
      <w:r>
        <w:rPr>
          <w:b w:val="0"/>
          <w:i w:val="0"/>
        </w:rPr>
        <w:t>The point-of-no-return go/no-go returns "no-go." The Program Manager records the decision and the reason; the System Upgrade Lead (M. Alvarez) owns execution from here.</w:t>
      </w:r>
    </w:p>
    <w:p>
      <w:r>
        <w:rPr>
          <w:b w:val="0"/>
          <w:i w:val="0"/>
        </w:rPr>
        <w:t>2</w:t>
      </w:r>
      <w:r>
        <w:rPr>
          <w:b w:val="0"/>
          <w:i w:val="0"/>
        </w:rPr>
        <w:t>Restore legacy</w:t>
      </w:r>
      <w:r>
        <w:rPr>
          <w:b w:val="0"/>
          <w:i w:val="0"/>
        </w:rPr>
        <w:t>Legacy is brought back online from the pre-cutover state. Because legacy was only taken offline — not decommissioned — and the extract was against a frozen snapshot, no live transactions occurred on the new platform to reconcile back. Restoration is a return to a known good state, not a merge.</w:t>
      </w:r>
    </w:p>
    <w:p>
      <w:r>
        <w:rPr>
          <w:b w:val="0"/>
          <w:i w:val="0"/>
        </w:rPr>
        <w:t>3</w:t>
      </w:r>
      <w:r>
        <w:rPr>
          <w:b w:val="0"/>
          <w:i w:val="0"/>
        </w:rPr>
        <w:t>Verify &amp; re-open</w:t>
      </w:r>
      <w:r>
        <w:rPr>
          <w:b w:val="0"/>
          <w:i w:val="0"/>
        </w:rPr>
        <w:t>Legacy is smoke-tested and re-opened to users. The notification path (TR-012) informs members and providers that the planned change has been deferred.</w:t>
      </w:r>
    </w:p>
    <w:p>
      <w:r>
        <w:rPr>
          <w:b w:val="0"/>
          <w:i w:val="0"/>
        </w:rPr>
        <w:t>4</w:t>
      </w:r>
      <w:r>
        <w:rPr>
          <w:b w:val="0"/>
          <w:i w:val="0"/>
        </w:rPr>
        <w:t>Root-cause &amp; re-plan</w:t>
      </w:r>
      <w:r>
        <w:rPr>
          <w:b w:val="0"/>
          <w:i w:val="0"/>
        </w:rPr>
        <w:t>The cause that triggered the rollback is analysed; the pre-funded third dry run (D-002) and the fixed open-enrollment go-live constraint (A-004) shape the re-attempt window. A rollback is a deferral, not a failure — provided legacy is intact, which is precisely why TR-011 retention exists.</w:t>
      </w:r>
    </w:p>
    <w:p>
      <w:r>
        <w:rPr>
          <w:b/>
          <w:i w:val="0"/>
        </w:rPr>
        <w:t>Rollback is bounded, not open-ended.</w:t>
      </w:r>
      <w:r>
        <w:rPr>
          <w:b w:val="0"/>
          <w:i w:val="0"/>
        </w:rPr>
        <w:t xml:space="preserve"> Because the fixed go-live sits before open enrollment (A-004), the program cannot roll back indefinitely and re-attempt at leisure — the outage windows available before the immovable date are finite. This is stated plainly so that the go/no-go is understood for what it is: a decision made against a real clock, which is exactly why the readiness gate in §2 is conjunctive and unforgiving.</w:t>
      </w:r>
    </w:p>
    <w:p>
      <w:pPr>
        <w:pStyle w:val="Heading1"/>
      </w:pPr>
      <w:r>
        <w:t>5 · Hypercare — elevated support after cutover TR-010</w:t>
      </w:r>
    </w:p>
    <w:p>
      <w:r>
        <w:rPr>
          <w:b w:val="0"/>
          <w:i w:val="0"/>
        </w:rPr>
        <w:t xml:space="preserve">TR-010 requires hypercare staffed at elevated levels for a defined period following cutover. Hypercare exists because a smoke test proves the platform runs; only production volume proves it runs </w:t>
      </w:r>
      <w:r>
        <w:rPr>
          <w:b w:val="0"/>
          <w:i/>
        </w:rPr>
        <w:t>correctly</w:t>
      </w:r>
      <w:r>
        <w:rPr>
          <w:b w:val="0"/>
          <w:i w:val="0"/>
        </w:rPr>
        <w:t>, and the first real claims, the first real enrollment changes and the first real member-cost-share calculations against converted accumulators are where residual conversion and configuration issues surface. Hypercare is the controlled period in which they are caught fast and fixed fast, before they compound.</w:t>
      </w:r>
    </w:p>
    <w:p>
      <w:pPr>
        <w:pStyle w:val="ListBullet"/>
      </w:pPr>
      <w:r>
        <w:rPr>
          <w:b/>
          <w:i w:val="0"/>
        </w:rPr>
        <w:t>Elevated staffing, defined duration.</w:t>
      </w:r>
      <w:r>
        <w:rPr>
          <w:b w:val="0"/>
          <w:i w:val="0"/>
        </w:rPr>
        <w:t xml:space="preserve"> Support is resourced above steady-state for a bounded hypercare window running from Go-Live toward Production Support Handover / Closeout (02 Nov 2027). The elevation is temporary by design; permanent elevation would mean the platform never stabilised.</w:t>
      </w:r>
    </w:p>
    <w:p>
      <w:pPr>
        <w:pStyle w:val="ListBullet"/>
      </w:pPr>
      <w:r>
        <w:rPr>
          <w:b/>
          <w:i w:val="0"/>
        </w:rPr>
        <w:t>Triage prioritises member-visible harm.</w:t>
      </w:r>
      <w:r>
        <w:rPr>
          <w:b w:val="0"/>
          <w:i w:val="0"/>
        </w:rPr>
        <w:t xml:space="preserve"> An incorrect accumulator (FS-008) or a misadjudicated claim reaches a real member as real money, and is triaged ahead of internal inconvenience. The Customer Experience Manager (V. Alaoui) owns the member-facing view of hypercare.</w:t>
      </w:r>
    </w:p>
    <w:p>
      <w:pPr>
        <w:pStyle w:val="ListBullet"/>
      </w:pPr>
      <w:r>
        <w:rPr>
          <w:b/>
          <w:i w:val="0"/>
        </w:rPr>
        <w:t>Exit is a decision, not a date.</w:t>
      </w:r>
      <w:r>
        <w:rPr>
          <w:b w:val="0"/>
          <w:i w:val="0"/>
        </w:rPr>
        <w:t xml:space="preserve"> Hypercare ends when incident rate and severity return to steady-state thresholds — not merely when the calendar window elapses. Ending hypercare on schedule while incidents are still elevated would hand an unstable platform to a support team sized for a stable one.</w:t>
      </w:r>
    </w:p>
    <w:p>
      <w:r>
        <w:rPr>
          <w:b/>
          <w:i w:val="0"/>
        </w:rPr>
        <w:t>Hypercare is the bridge to the Benefits Realization Plan.</w:t>
      </w:r>
      <w:r>
        <w:rPr>
          <w:b w:val="0"/>
          <w:i w:val="0"/>
        </w:rPr>
        <w:t xml:space="preserve"> The </w:t>
      </w:r>
      <w:r>
        <w:rPr>
          <w:b w:val="0"/>
          <w:i w:val="0"/>
        </w:rPr>
        <w:t>Benefits Realization Plan</w:t>
      </w:r>
      <w:r>
        <w:rPr>
          <w:b w:val="0"/>
          <w:i w:val="0"/>
        </w:rPr>
        <w:t xml:space="preserve"> deliberately excludes the first open-enrollment cycle from measurement because cutover degrades performance before it improves it. Hypercare is the period that degradation lives in — naming it here, and resourcing it, is what keeps the benefit case honest rather than measuring the disruption and calling it the result.</w:t>
      </w:r>
    </w:p>
    <w:p>
      <w:pPr>
        <w:pStyle w:val="Heading2"/>
      </w:pPr>
      <w:r>
        <w:t>Hypercare severity and response</w:t>
      </w:r>
    </w:p>
    <w:p>
      <w:r>
        <w:rPr>
          <w:b w:val="0"/>
          <w:i w:val="0"/>
        </w:rPr>
        <w:t>Not every post-cutover issue is equal, and triage is what keeps elevated staffing from being consumed by noise while a member-money defect waits. Incidents are classified on the harm they reach rather than on how loudly they are reported.</w:t>
      </w:r>
    </w:p>
    <w:tbl>
      <w:tblPr>
        <w:tblStyle w:val="TableGrid"/>
        <w:tblW w:type="auto" w:w="0"/>
        <w:jc w:val="center"/>
        <w:tblLook w:firstColumn="1" w:firstRow="1" w:lastColumn="0" w:lastRow="0" w:noHBand="0" w:noVBand="1" w:val="04A0"/>
      </w:tblPr>
      <w:tblGrid>
        <w:gridCol w:w="3312"/>
        <w:gridCol w:w="3312"/>
        <w:gridCol w:w="3312"/>
      </w:tblGrid>
      <w:tr>
        <w:tc>
          <w:tcPr>
            <w:tcW w:type="dxa" w:w="3312"/>
          </w:tcPr>
          <w:p>
            <w:r>
              <w:rPr>
                <w:sz w:val="17"/>
              </w:rPr>
            </w:r>
            <w:r>
              <w:rPr>
                <w:b/>
                <w:i w:val="0"/>
                <w:sz w:val="17"/>
              </w:rPr>
              <w:t>Severity</w:t>
            </w:r>
          </w:p>
        </w:tc>
        <w:tc>
          <w:tcPr>
            <w:tcW w:type="dxa" w:w="3312"/>
          </w:tcPr>
          <w:p>
            <w:r>
              <w:rPr>
                <w:sz w:val="17"/>
              </w:rPr>
            </w:r>
            <w:r>
              <w:rPr>
                <w:b/>
                <w:i w:val="0"/>
                <w:sz w:val="17"/>
              </w:rPr>
              <w:t>Definition</w:t>
            </w:r>
          </w:p>
        </w:tc>
        <w:tc>
          <w:tcPr>
            <w:tcW w:type="dxa" w:w="3312"/>
          </w:tcPr>
          <w:p>
            <w:r>
              <w:rPr>
                <w:sz w:val="17"/>
              </w:rPr>
            </w:r>
            <w:r>
              <w:rPr>
                <w:b/>
                <w:i w:val="0"/>
                <w:sz w:val="17"/>
              </w:rPr>
              <w:t>Hypercare response</w:t>
            </w:r>
          </w:p>
        </w:tc>
      </w:tr>
      <w:tr>
        <w:tc>
          <w:tcPr>
            <w:tcW w:type="dxa" w:w="3312"/>
          </w:tcPr>
          <w:p>
            <w:r>
              <w:rPr>
                <w:sz w:val="17"/>
              </w:rPr>
            </w:r>
            <w:r>
              <w:rPr>
                <w:b w:val="0"/>
                <w:i w:val="0"/>
                <w:sz w:val="17"/>
              </w:rPr>
              <w:t>Sev 1</w:t>
            </w:r>
          </w:p>
        </w:tc>
        <w:tc>
          <w:tcPr>
            <w:tcW w:type="dxa" w:w="3312"/>
          </w:tcPr>
          <w:p>
            <w:r>
              <w:rPr>
                <w:sz w:val="17"/>
              </w:rPr>
            </w:r>
            <w:r>
              <w:rPr>
                <w:b w:val="0"/>
                <w:i w:val="0"/>
                <w:sz w:val="17"/>
              </w:rPr>
              <w:t>Member-visible financial error — incorrect cost-share, incorrect accumulator, misadjudicated claim reaching a real member</w:t>
            </w:r>
          </w:p>
        </w:tc>
        <w:tc>
          <w:tcPr>
            <w:tcW w:type="dxa" w:w="3312"/>
          </w:tcPr>
          <w:p>
            <w:r>
              <w:rPr>
                <w:sz w:val="17"/>
              </w:rPr>
            </w:r>
            <w:r>
              <w:rPr>
                <w:b w:val="0"/>
                <w:i w:val="0"/>
                <w:sz w:val="17"/>
              </w:rPr>
              <w:t>Immediate; owned to resolution before the next batch adjudicates against the same defect</w:t>
            </w:r>
          </w:p>
        </w:tc>
      </w:tr>
      <w:tr>
        <w:tc>
          <w:tcPr>
            <w:tcW w:type="dxa" w:w="3312"/>
          </w:tcPr>
          <w:p>
            <w:r>
              <w:rPr>
                <w:sz w:val="17"/>
              </w:rPr>
            </w:r>
            <w:r>
              <w:rPr>
                <w:b w:val="0"/>
                <w:i w:val="0"/>
                <w:sz w:val="17"/>
              </w:rPr>
              <w:t>Sev 2</w:t>
            </w:r>
          </w:p>
        </w:tc>
        <w:tc>
          <w:tcPr>
            <w:tcW w:type="dxa" w:w="3312"/>
          </w:tcPr>
          <w:p>
            <w:r>
              <w:rPr>
                <w:sz w:val="17"/>
              </w:rPr>
            </w:r>
            <w:r>
              <w:rPr>
                <w:b w:val="0"/>
                <w:i w:val="0"/>
                <w:sz w:val="17"/>
              </w:rPr>
              <w:t>Operational break with a workaround — an integration failing, a report wrong, staff blocked on a task with an alternative path</w:t>
            </w:r>
          </w:p>
        </w:tc>
        <w:tc>
          <w:tcPr>
            <w:tcW w:type="dxa" w:w="3312"/>
          </w:tcPr>
          <w:p>
            <w:r>
              <w:rPr>
                <w:sz w:val="17"/>
              </w:rPr>
            </w:r>
            <w:r>
              <w:rPr>
                <w:b w:val="0"/>
                <w:i w:val="0"/>
                <w:sz w:val="17"/>
              </w:rPr>
              <w:t>Same-day; workaround confirmed, root cause scheduled</w:t>
            </w:r>
          </w:p>
        </w:tc>
      </w:tr>
      <w:tr>
        <w:tc>
          <w:tcPr>
            <w:tcW w:type="dxa" w:w="3312"/>
          </w:tcPr>
          <w:p>
            <w:r>
              <w:rPr>
                <w:sz w:val="17"/>
              </w:rPr>
            </w:r>
            <w:r>
              <w:rPr>
                <w:b w:val="0"/>
                <w:i w:val="0"/>
                <w:sz w:val="17"/>
              </w:rPr>
              <w:t>Sev 3</w:t>
            </w:r>
          </w:p>
        </w:tc>
        <w:tc>
          <w:tcPr>
            <w:tcW w:type="dxa" w:w="3312"/>
          </w:tcPr>
          <w:p>
            <w:r>
              <w:rPr>
                <w:sz w:val="17"/>
              </w:rPr>
            </w:r>
            <w:r>
              <w:rPr>
                <w:b w:val="0"/>
                <w:i w:val="0"/>
                <w:sz w:val="17"/>
              </w:rPr>
              <w:t>Cosmetic or low-impact — no member harm, no operational block</w:t>
            </w:r>
          </w:p>
        </w:tc>
        <w:tc>
          <w:tcPr>
            <w:tcW w:type="dxa" w:w="3312"/>
          </w:tcPr>
          <w:p>
            <w:r>
              <w:rPr>
                <w:sz w:val="17"/>
              </w:rPr>
            </w:r>
            <w:r>
              <w:rPr>
                <w:b w:val="0"/>
                <w:i w:val="0"/>
                <w:sz w:val="17"/>
              </w:rPr>
              <w:t>Logged and batched; not allowed to consume elevated capacity</w:t>
            </w:r>
          </w:p>
        </w:tc>
      </w:tr>
    </w:tbl>
    <w:p/>
    <w:p>
      <w:r>
        <w:rPr>
          <w:b w:val="0"/>
          <w:i w:val="0"/>
        </w:rPr>
        <w:t>The classification is a control on the staffing, not just on the queue: elevated support exists to make Sev 1 and Sev 2 fast, and the exit from hypercare is defined against those, not against Sev 3 volume that will exist on any live platform.</w:t>
      </w:r>
    </w:p>
    <w:p>
      <w:pPr>
        <w:pStyle w:val="Heading1"/>
      </w:pPr>
      <w:r>
        <w:t>6 · Legacy retention and external notification TR-011 · TR-012</w:t>
      </w:r>
    </w:p>
    <w:p>
      <w:r>
        <w:rPr>
          <w:b w:val="0"/>
          <w:i w:val="0"/>
        </w:rPr>
        <w:t>Two requirements bracket the cutover on either side — one looks backward at the legacy system, one forward at the people affected.</w:t>
      </w:r>
    </w:p>
    <w:p>
      <w:pPr>
        <w:pStyle w:val="Heading2"/>
      </w:pPr>
      <w:r>
        <w:t>TR-011 — legacy read-only retention</w:t>
      </w:r>
    </w:p>
    <w:p>
      <w:r>
        <w:rPr>
          <w:b w:val="0"/>
          <w:i w:val="0"/>
        </w:rPr>
        <w:t xml:space="preserve">Legacy platform access is retained </w:t>
      </w:r>
      <w:r>
        <w:rPr>
          <w:b w:val="0"/>
          <w:i/>
        </w:rPr>
        <w:t>read-only</w:t>
      </w:r>
      <w:r>
        <w:rPr>
          <w:b w:val="0"/>
          <w:i w:val="0"/>
        </w:rPr>
        <w:t xml:space="preserve"> after cutover until data-retention obligations are verified as satisfied — owned by M. Alvarez. This is not sentiment; it is the safety net the rollback (§4) depends on during the window, and the system of record for any post-cutover question that converted data cannot answer. Read-only is deliberate: the legacy platform must not accept new transactions that would fork the system of record. Retention ends only when the obligations are </w:t>
      </w:r>
      <w:r>
        <w:rPr>
          <w:b w:val="0"/>
          <w:i/>
        </w:rPr>
        <w:t>verified</w:t>
      </w:r>
      <w:r>
        <w:rPr>
          <w:b w:val="0"/>
          <w:i w:val="0"/>
        </w:rPr>
        <w:t xml:space="preserve"> satisfied, not when someone assumes they are.</w:t>
      </w:r>
    </w:p>
    <w:p>
      <w:pPr>
        <w:pStyle w:val="Heading2"/>
      </w:pPr>
      <w:r>
        <w:t>TR-012 — member and provider notification</w:t>
      </w:r>
    </w:p>
    <w:p>
      <w:r>
        <w:rPr>
          <w:b w:val="0"/>
          <w:i w:val="0"/>
        </w:rPr>
        <w:t xml:space="preserve">Any externally visible change is notified to members and providers in advance — owned by V. Alaoui and coordinated with the </w:t>
      </w:r>
      <w:r>
        <w:rPr>
          <w:b w:val="0"/>
          <w:i w:val="0"/>
        </w:rPr>
        <w:t>Communications Plan</w:t>
      </w:r>
      <w:r>
        <w:rPr>
          <w:b w:val="0"/>
          <w:i w:val="0"/>
        </w:rPr>
        <w:t xml:space="preserve">. The Communications Plan surfaces Customer Service as the under-served stakeholder and defines a deliberate quiet period; cutover notification is the moment that quiet period ends. The rule is advance notice of anything the member or provider will </w:t>
      </w:r>
      <w:r>
        <w:rPr>
          <w:b w:val="0"/>
          <w:i/>
        </w:rPr>
        <w:t>see</w:t>
      </w:r>
      <w:r>
        <w:rPr>
          <w:b w:val="0"/>
          <w:i w:val="0"/>
        </w:rPr>
        <w:t xml:space="preserve"> — a planned outage, a changed portal, a different statement — because an unannounced visible change generates exactly the contact volume hypercare is least able to absorb in its first days.</w:t>
      </w:r>
    </w:p>
    <w:p>
      <w:r>
        <w:rPr>
          <w:b w:val="0"/>
          <w:i w:val="0"/>
        </w:rPr>
        <w:t>Notification is sequenced, not a single broadcast. Providers are notified ahead of members, because a provider who understands the change absorbs member questions rather than escalating them — a well-briefed provider network is the first tier of contact deflection during hypercare. The notification names the outage window, what will look different afterward, and where to go for help, and it is timed so that it arrives with enough lead to be read and not so early that it is forgotten. Contingency wording is prepared in advance for the rollback case (§4): if the cutover is deferred, members and providers are told the planned change has been postponed, using a message that was written before the pressure of the moment rather than during it. A notification the organisation has to compose while executing a rollback is a notification that will be late, wrong, or both.</w:t>
      </w:r>
    </w:p>
    <w:p>
      <w:pPr>
        <w:pStyle w:val="Heading1"/>
      </w:pPr>
      <w:r>
        <w:t>7 · Roles and sign-off Governance</w:t>
      </w:r>
    </w:p>
    <w:tbl>
      <w:tblPr>
        <w:tblStyle w:val="TableGrid"/>
        <w:tblW w:type="auto" w:w="0"/>
        <w:jc w:val="center"/>
        <w:tblLook w:firstColumn="1" w:firstRow="1" w:lastColumn="0" w:lastRow="0" w:noHBand="0" w:noVBand="1" w:val="04A0"/>
      </w:tblPr>
      <w:tblGrid>
        <w:gridCol w:w="3312"/>
        <w:gridCol w:w="3312"/>
        <w:gridCol w:w="3312"/>
      </w:tblGrid>
      <w:tr>
        <w:tc>
          <w:tcPr>
            <w:tcW w:type="dxa" w:w="3312"/>
          </w:tcPr>
          <w:p>
            <w:r>
              <w:rPr>
                <w:sz w:val="17"/>
              </w:rPr>
            </w:r>
            <w:r>
              <w:rPr>
                <w:b/>
                <w:i w:val="0"/>
                <w:sz w:val="17"/>
              </w:rPr>
              <w:t>Role</w:t>
            </w:r>
          </w:p>
        </w:tc>
        <w:tc>
          <w:tcPr>
            <w:tcW w:type="dxa" w:w="3312"/>
          </w:tcPr>
          <w:p>
            <w:r>
              <w:rPr>
                <w:sz w:val="17"/>
              </w:rPr>
            </w:r>
            <w:r>
              <w:rPr>
                <w:b/>
                <w:i w:val="0"/>
                <w:sz w:val="17"/>
              </w:rPr>
              <w:t>Named</w:t>
            </w:r>
          </w:p>
        </w:tc>
        <w:tc>
          <w:tcPr>
            <w:tcW w:type="dxa" w:w="3312"/>
          </w:tcPr>
          <w:p>
            <w:r>
              <w:rPr>
                <w:sz w:val="17"/>
              </w:rPr>
            </w:r>
            <w:r>
              <w:rPr>
                <w:b/>
                <w:i w:val="0"/>
                <w:sz w:val="17"/>
              </w:rPr>
              <w:t>Cutover accountability</w:t>
            </w:r>
          </w:p>
        </w:tc>
      </w:tr>
      <w:tr>
        <w:tc>
          <w:tcPr>
            <w:tcW w:type="dxa" w:w="3312"/>
          </w:tcPr>
          <w:p>
            <w:r>
              <w:rPr>
                <w:sz w:val="17"/>
              </w:rPr>
            </w:r>
            <w:r>
              <w:rPr>
                <w:b w:val="0"/>
                <w:i w:val="0"/>
                <w:sz w:val="17"/>
              </w:rPr>
              <w:t>Program Manager</w:t>
            </w:r>
          </w:p>
        </w:tc>
        <w:tc>
          <w:tcPr>
            <w:tcW w:type="dxa" w:w="3312"/>
          </w:tcPr>
          <w:p>
            <w:r>
              <w:rPr>
                <w:sz w:val="17"/>
              </w:rPr>
            </w:r>
            <w:r>
              <w:rPr>
                <w:b w:val="0"/>
                <w:i w:val="0"/>
                <w:sz w:val="17"/>
              </w:rPr>
              <w:t>C. Tyrrell</w:t>
            </w:r>
          </w:p>
        </w:tc>
        <w:tc>
          <w:tcPr>
            <w:tcW w:type="dxa" w:w="3312"/>
          </w:tcPr>
          <w:p>
            <w:r>
              <w:rPr>
                <w:sz w:val="17"/>
              </w:rPr>
            </w:r>
            <w:r>
              <w:rPr>
                <w:b w:val="0"/>
                <w:i w:val="0"/>
                <w:sz w:val="17"/>
              </w:rPr>
              <w:t>Chairs readiness go/no-go and the point-of-no-return decision; owns hypercare (TR-010)</w:t>
            </w:r>
          </w:p>
        </w:tc>
      </w:tr>
      <w:tr>
        <w:tc>
          <w:tcPr>
            <w:tcW w:type="dxa" w:w="3312"/>
          </w:tcPr>
          <w:p>
            <w:r>
              <w:rPr>
                <w:sz w:val="17"/>
              </w:rPr>
            </w:r>
            <w:r>
              <w:rPr>
                <w:b w:val="0"/>
                <w:i w:val="0"/>
                <w:sz w:val="17"/>
              </w:rPr>
              <w:t>System Upgrade Lead</w:t>
            </w:r>
          </w:p>
        </w:tc>
        <w:tc>
          <w:tcPr>
            <w:tcW w:type="dxa" w:w="3312"/>
          </w:tcPr>
          <w:p>
            <w:r>
              <w:rPr>
                <w:sz w:val="17"/>
              </w:rPr>
            </w:r>
            <w:r>
              <w:rPr>
                <w:b w:val="0"/>
                <w:i w:val="0"/>
                <w:sz w:val="17"/>
              </w:rPr>
              <w:t>M. Alvarez</w:t>
            </w:r>
          </w:p>
        </w:tc>
        <w:tc>
          <w:tcPr>
            <w:tcW w:type="dxa" w:w="3312"/>
          </w:tcPr>
          <w:p>
            <w:r>
              <w:rPr>
                <w:sz w:val="17"/>
              </w:rPr>
            </w:r>
            <w:r>
              <w:rPr>
                <w:b w:val="0"/>
                <w:i w:val="0"/>
                <w:sz w:val="17"/>
              </w:rPr>
              <w:t>Executes rollback (TR-007) and owns legacy read-only retention (TR-011)</w:t>
            </w:r>
          </w:p>
        </w:tc>
      </w:tr>
      <w:tr>
        <w:tc>
          <w:tcPr>
            <w:tcW w:type="dxa" w:w="3312"/>
          </w:tcPr>
          <w:p>
            <w:r>
              <w:rPr>
                <w:sz w:val="17"/>
              </w:rPr>
            </w:r>
            <w:r>
              <w:rPr>
                <w:b w:val="0"/>
                <w:i w:val="0"/>
                <w:sz w:val="17"/>
              </w:rPr>
              <w:t>Data Conversion Lead</w:t>
            </w:r>
          </w:p>
        </w:tc>
        <w:tc>
          <w:tcPr>
            <w:tcW w:type="dxa" w:w="3312"/>
          </w:tcPr>
          <w:p>
            <w:r>
              <w:rPr>
                <w:sz w:val="17"/>
              </w:rPr>
            </w:r>
            <w:r>
              <w:rPr>
                <w:b w:val="0"/>
                <w:i w:val="0"/>
                <w:sz w:val="17"/>
              </w:rPr>
              <w:t>T. McCormick</w:t>
            </w:r>
          </w:p>
        </w:tc>
        <w:tc>
          <w:tcPr>
            <w:tcW w:type="dxa" w:w="3312"/>
          </w:tcPr>
          <w:p>
            <w:r>
              <w:rPr>
                <w:sz w:val="17"/>
              </w:rPr>
            </w:r>
            <w:r>
              <w:rPr>
                <w:b w:val="0"/>
                <w:i w:val="0"/>
                <w:sz w:val="17"/>
              </w:rPr>
              <w:t>Runs the production conversion inside the window (TR-006)</w:t>
            </w:r>
          </w:p>
        </w:tc>
      </w:tr>
      <w:tr>
        <w:tc>
          <w:tcPr>
            <w:tcW w:type="dxa" w:w="3312"/>
          </w:tcPr>
          <w:p>
            <w:r>
              <w:rPr>
                <w:sz w:val="17"/>
              </w:rPr>
            </w:r>
            <w:r>
              <w:rPr>
                <w:b w:val="0"/>
                <w:i w:val="0"/>
                <w:sz w:val="17"/>
              </w:rPr>
              <w:t>QA / Test Lead</w:t>
            </w:r>
          </w:p>
        </w:tc>
        <w:tc>
          <w:tcPr>
            <w:tcW w:type="dxa" w:w="3312"/>
          </w:tcPr>
          <w:p>
            <w:r>
              <w:rPr>
                <w:sz w:val="17"/>
              </w:rPr>
            </w:r>
            <w:r>
              <w:rPr>
                <w:b w:val="0"/>
                <w:i w:val="0"/>
                <w:sz w:val="17"/>
              </w:rPr>
              <w:t>R. Whitfield</w:t>
            </w:r>
          </w:p>
        </w:tc>
        <w:tc>
          <w:tcPr>
            <w:tcW w:type="dxa" w:w="3312"/>
          </w:tcPr>
          <w:p>
            <w:r>
              <w:rPr>
                <w:sz w:val="17"/>
              </w:rPr>
            </w:r>
            <w:r>
              <w:rPr>
                <w:b w:val="0"/>
                <w:i w:val="0"/>
                <w:sz w:val="17"/>
              </w:rPr>
              <w:t>Owns post-cutover smoke test and validation</w:t>
            </w:r>
          </w:p>
        </w:tc>
      </w:tr>
      <w:tr>
        <w:tc>
          <w:tcPr>
            <w:tcW w:type="dxa" w:w="3312"/>
          </w:tcPr>
          <w:p>
            <w:r>
              <w:rPr>
                <w:sz w:val="17"/>
              </w:rPr>
            </w:r>
            <w:r>
              <w:rPr>
                <w:b w:val="0"/>
                <w:i w:val="0"/>
                <w:sz w:val="17"/>
              </w:rPr>
              <w:t>Customer Experience Manager</w:t>
            </w:r>
          </w:p>
        </w:tc>
        <w:tc>
          <w:tcPr>
            <w:tcW w:type="dxa" w:w="3312"/>
          </w:tcPr>
          <w:p>
            <w:r>
              <w:rPr>
                <w:sz w:val="17"/>
              </w:rPr>
            </w:r>
            <w:r>
              <w:rPr>
                <w:b w:val="0"/>
                <w:i w:val="0"/>
                <w:sz w:val="17"/>
              </w:rPr>
              <w:t>V. Alaoui</w:t>
            </w:r>
          </w:p>
        </w:tc>
        <w:tc>
          <w:tcPr>
            <w:tcW w:type="dxa" w:w="3312"/>
          </w:tcPr>
          <w:p>
            <w:r>
              <w:rPr>
                <w:sz w:val="17"/>
              </w:rPr>
            </w:r>
            <w:r>
              <w:rPr>
                <w:b w:val="0"/>
                <w:i w:val="0"/>
                <w:sz w:val="17"/>
              </w:rPr>
              <w:t>Owns member/provider notification (TR-012) and the member-facing view of hypercare</w:t>
            </w:r>
          </w:p>
        </w:tc>
      </w:tr>
    </w:tbl>
    <w:p/>
    <w:p>
      <w:r>
        <w:rPr>
          <w:b/>
          <w:i w:val="0"/>
        </w:rPr>
        <w:t>Go-Live — 24 Aug 2027.</w:t>
      </w:r>
      <w:r>
        <w:rPr>
          <w:b w:val="0"/>
          <w:i w:val="0"/>
        </w:rPr>
        <w:t xml:space="preserve"> Authorised at the point-of-no-return go/no-go only when the §2 readiness gate is fully met and reconciliation closes on production data. The window sits deliberately before open enrollment (A-004), which is what makes the readiness gate unforgiving and the rollback clock real.</w:t>
      </w:r>
    </w:p>
    <w:p>
      <w:pPr>
        <w:pStyle w:val="Heading1"/>
      </w:pPr>
      <w:r>
        <w:t>8 · Traceability — this plan against the RTM G-02 closed</w:t>
      </w:r>
    </w:p>
    <w:tbl>
      <w:tblPr>
        <w:tblStyle w:val="TableGrid"/>
        <w:tblW w:type="auto" w:w="0"/>
        <w:jc w:val="center"/>
        <w:tblLook w:firstColumn="1" w:firstRow="1" w:lastColumn="0" w:lastRow="0" w:noHBand="0" w:noVBand="1" w:val="04A0"/>
      </w:tblPr>
      <w:tblGrid>
        <w:gridCol w:w="3312"/>
        <w:gridCol w:w="3312"/>
        <w:gridCol w:w="3312"/>
      </w:tblGrid>
      <w:tr>
        <w:tc>
          <w:tcPr>
            <w:tcW w:type="dxa" w:w="3312"/>
          </w:tcPr>
          <w:p>
            <w:r>
              <w:rPr>
                <w:sz w:val="17"/>
              </w:rPr>
            </w:r>
            <w:r>
              <w:rPr>
                <w:b/>
                <w:i w:val="0"/>
                <w:sz w:val="17"/>
              </w:rPr>
              <w:t>Requirement</w:t>
            </w:r>
          </w:p>
        </w:tc>
        <w:tc>
          <w:tcPr>
            <w:tcW w:type="dxa" w:w="3312"/>
          </w:tcPr>
          <w:p>
            <w:r>
              <w:rPr>
                <w:sz w:val="17"/>
              </w:rPr>
            </w:r>
            <w:r>
              <w:rPr>
                <w:b/>
                <w:i w:val="0"/>
                <w:sz w:val="17"/>
              </w:rPr>
              <w:t>Owned by this plan in</w:t>
            </w:r>
          </w:p>
        </w:tc>
        <w:tc>
          <w:tcPr>
            <w:tcW w:type="dxa" w:w="3312"/>
          </w:tcPr>
          <w:p>
            <w:r>
              <w:rPr>
                <w:sz w:val="17"/>
              </w:rPr>
            </w:r>
            <w:r>
              <w:rPr>
                <w:b/>
                <w:i w:val="0"/>
                <w:sz w:val="17"/>
              </w:rPr>
              <w:t>Status</w:t>
            </w:r>
          </w:p>
        </w:tc>
      </w:tr>
      <w:tr>
        <w:tc>
          <w:tcPr>
            <w:tcW w:type="dxa" w:w="3312"/>
          </w:tcPr>
          <w:p>
            <w:r>
              <w:rPr>
                <w:sz w:val="17"/>
              </w:rPr>
            </w:r>
            <w:r>
              <w:rPr>
                <w:b w:val="0"/>
                <w:i w:val="0"/>
                <w:sz w:val="17"/>
              </w:rPr>
              <w:t>TR-006</w:t>
            </w:r>
          </w:p>
        </w:tc>
        <w:tc>
          <w:tcPr>
            <w:tcW w:type="dxa" w:w="3312"/>
          </w:tcPr>
          <w:p>
            <w:r>
              <w:rPr>
                <w:sz w:val="17"/>
              </w:rPr>
            </w:r>
            <w:r>
              <w:rPr>
                <w:b w:val="0"/>
                <w:i w:val="0"/>
                <w:sz w:val="17"/>
              </w:rPr>
              <w:t>§3 runbook (window sequencing; sizing in the Data Conversion Plan)</w:t>
            </w:r>
          </w:p>
        </w:tc>
        <w:tc>
          <w:tcPr>
            <w:tcW w:type="dxa" w:w="3312"/>
          </w:tcPr>
          <w:p>
            <w:r>
              <w:rPr>
                <w:sz w:val="17"/>
              </w:rPr>
            </w:r>
            <w:r>
              <w:rPr>
                <w:b w:val="0"/>
                <w:i w:val="0"/>
                <w:sz w:val="17"/>
              </w:rPr>
              <w:t>Owned</w:t>
            </w:r>
          </w:p>
        </w:tc>
      </w:tr>
      <w:tr>
        <w:tc>
          <w:tcPr>
            <w:tcW w:type="dxa" w:w="3312"/>
          </w:tcPr>
          <w:p>
            <w:r>
              <w:rPr>
                <w:sz w:val="17"/>
              </w:rPr>
            </w:r>
            <w:r>
              <w:rPr>
                <w:b w:val="0"/>
                <w:i w:val="0"/>
                <w:sz w:val="17"/>
              </w:rPr>
              <w:t>TR-007</w:t>
            </w:r>
          </w:p>
        </w:tc>
        <w:tc>
          <w:tcPr>
            <w:tcW w:type="dxa" w:w="3312"/>
          </w:tcPr>
          <w:p>
            <w:r>
              <w:rPr>
                <w:sz w:val="17"/>
              </w:rPr>
            </w:r>
            <w:r>
              <w:rPr>
                <w:b w:val="0"/>
                <w:i w:val="0"/>
                <w:sz w:val="17"/>
              </w:rPr>
              <w:t>§4 rollback runbook</w:t>
            </w:r>
          </w:p>
        </w:tc>
        <w:tc>
          <w:tcPr>
            <w:tcW w:type="dxa" w:w="3312"/>
          </w:tcPr>
          <w:p>
            <w:r>
              <w:rPr>
                <w:sz w:val="17"/>
              </w:rPr>
            </w:r>
            <w:r>
              <w:rPr>
                <w:b w:val="0"/>
                <w:i w:val="0"/>
                <w:sz w:val="17"/>
              </w:rPr>
              <w:t>Owned</w:t>
            </w:r>
          </w:p>
        </w:tc>
      </w:tr>
      <w:tr>
        <w:tc>
          <w:tcPr>
            <w:tcW w:type="dxa" w:w="3312"/>
          </w:tcPr>
          <w:p>
            <w:r>
              <w:rPr>
                <w:sz w:val="17"/>
              </w:rPr>
            </w:r>
            <w:r>
              <w:rPr>
                <w:b w:val="0"/>
                <w:i w:val="0"/>
                <w:sz w:val="17"/>
              </w:rPr>
              <w:t>TR-010</w:t>
            </w:r>
          </w:p>
        </w:tc>
        <w:tc>
          <w:tcPr>
            <w:tcW w:type="dxa" w:w="3312"/>
          </w:tcPr>
          <w:p>
            <w:r>
              <w:rPr>
                <w:sz w:val="17"/>
              </w:rPr>
            </w:r>
            <w:r>
              <w:rPr>
                <w:b w:val="0"/>
                <w:i w:val="0"/>
                <w:sz w:val="17"/>
              </w:rPr>
              <w:t>§5 hypercare</w:t>
            </w:r>
          </w:p>
        </w:tc>
        <w:tc>
          <w:tcPr>
            <w:tcW w:type="dxa" w:w="3312"/>
          </w:tcPr>
          <w:p>
            <w:r>
              <w:rPr>
                <w:sz w:val="17"/>
              </w:rPr>
            </w:r>
            <w:r>
              <w:rPr>
                <w:b w:val="0"/>
                <w:i w:val="0"/>
                <w:sz w:val="17"/>
              </w:rPr>
              <w:t>Owned</w:t>
            </w:r>
          </w:p>
        </w:tc>
      </w:tr>
      <w:tr>
        <w:tc>
          <w:tcPr>
            <w:tcW w:type="dxa" w:w="3312"/>
          </w:tcPr>
          <w:p>
            <w:r>
              <w:rPr>
                <w:sz w:val="17"/>
              </w:rPr>
            </w:r>
            <w:r>
              <w:rPr>
                <w:b w:val="0"/>
                <w:i w:val="0"/>
                <w:sz w:val="17"/>
              </w:rPr>
              <w:t>TR-011</w:t>
            </w:r>
          </w:p>
        </w:tc>
        <w:tc>
          <w:tcPr>
            <w:tcW w:type="dxa" w:w="3312"/>
          </w:tcPr>
          <w:p>
            <w:r>
              <w:rPr>
                <w:sz w:val="17"/>
              </w:rPr>
            </w:r>
            <w:r>
              <w:rPr>
                <w:b w:val="0"/>
                <w:i w:val="0"/>
                <w:sz w:val="17"/>
              </w:rPr>
              <w:t>§6 legacy read-only retention</w:t>
            </w:r>
          </w:p>
        </w:tc>
        <w:tc>
          <w:tcPr>
            <w:tcW w:type="dxa" w:w="3312"/>
          </w:tcPr>
          <w:p>
            <w:r>
              <w:rPr>
                <w:sz w:val="17"/>
              </w:rPr>
            </w:r>
            <w:r>
              <w:rPr>
                <w:b w:val="0"/>
                <w:i w:val="0"/>
                <w:sz w:val="17"/>
              </w:rPr>
              <w:t>Owned</w:t>
            </w:r>
          </w:p>
        </w:tc>
      </w:tr>
      <w:tr>
        <w:tc>
          <w:tcPr>
            <w:tcW w:type="dxa" w:w="3312"/>
          </w:tcPr>
          <w:p>
            <w:r>
              <w:rPr>
                <w:sz w:val="17"/>
              </w:rPr>
            </w:r>
            <w:r>
              <w:rPr>
                <w:b w:val="0"/>
                <w:i w:val="0"/>
                <w:sz w:val="17"/>
              </w:rPr>
              <w:t>TR-012</w:t>
            </w:r>
          </w:p>
        </w:tc>
        <w:tc>
          <w:tcPr>
            <w:tcW w:type="dxa" w:w="3312"/>
          </w:tcPr>
          <w:p>
            <w:r>
              <w:rPr>
                <w:sz w:val="17"/>
              </w:rPr>
            </w:r>
            <w:r>
              <w:rPr>
                <w:b w:val="0"/>
                <w:i w:val="0"/>
                <w:sz w:val="17"/>
              </w:rPr>
              <w:t>§6 member/provider notification</w:t>
            </w:r>
          </w:p>
        </w:tc>
        <w:tc>
          <w:tcPr>
            <w:tcW w:type="dxa" w:w="3312"/>
          </w:tcPr>
          <w:p>
            <w:r>
              <w:rPr>
                <w:sz w:val="17"/>
              </w:rPr>
            </w:r>
            <w:r>
              <w:rPr>
                <w:b w:val="0"/>
                <w:i w:val="0"/>
                <w:sz w:val="17"/>
              </w:rPr>
              <w:t>Owned</w:t>
            </w:r>
          </w:p>
        </w:tc>
      </w:tr>
    </w:tbl>
    <w:p/>
    <w:p>
      <w:r>
        <w:rPr>
          <w:b w:val="0"/>
          <w:i w:val="0"/>
        </w:rPr>
        <w:t xml:space="preserve">TR-001–005 are owned by the </w:t>
      </w:r>
      <w:r>
        <w:rPr>
          <w:b w:val="0"/>
          <w:i w:val="0"/>
        </w:rPr>
        <w:t>Data Conversion Plan</w:t>
      </w:r>
      <w:r>
        <w:rPr>
          <w:b w:val="0"/>
          <w:i w:val="0"/>
        </w:rPr>
        <w:t xml:space="preserve">; TR-008–009 by the </w:t>
      </w:r>
      <w:r>
        <w:rPr>
          <w:b w:val="0"/>
          <w:i w:val="0"/>
        </w:rPr>
        <w:t>Training Plan</w:t>
      </w:r>
      <w:r>
        <w:rPr>
          <w:b w:val="0"/>
          <w:i w:val="0"/>
        </w:rPr>
        <w:t>. G-02 closes with no requirement shared ambiguously between plans: where a requirement has both a data rule and an operational runbook (TR-006, TR-007), the data rule is stated once in the Data Conversion Plan and the runbook once here, cross-referenced rather than duplicated.</w:t>
      </w:r>
    </w:p>
    <w:p>
      <w:r>
        <w:rPr>
          <w:b/>
          <w:i w:val="0"/>
        </w:rPr>
        <w:t>Why three plans and not one transition plan.</w:t>
      </w:r>
      <w:r>
        <w:rPr>
          <w:b w:val="0"/>
          <w:i w:val="0"/>
        </w:rPr>
        <w:t xml:space="preserve"> The transition requirements could have been documented in a single omnibus plan. They are split into three because they have three different owners on three different timelines: conversion is owned by the Data Conversion Lead and gates at Data Conversion Sign-off (16 Mar 2027); training is owned by the Training Lead and must complete before UAT (10 Aug 2027); cutover is owned by the Program Manager and executes at Go-Live (24 Aug 2027). A single document would have one owner and one review cadence for work that genuinely has three of each, and the requirement most likely to be neglected would be whichever one that single owner understood least. Three plans with three accountable owners is the structure the requirements actually have — the RTM's three separate gaps, G-01/02/03, were telling the same story.</w:t>
      </w:r>
    </w:p>
    <w:sectPr w:rsidR="00FC693F" w:rsidRPr="0006063C" w:rsidSect="00034616">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