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Enrollment &amp; Claims Platform Modernization</w:t>
      </w:r>
    </w:p>
    <w:p>
      <w:r>
        <w:rPr>
          <w:b w:val="0"/>
          <w:i w:val="0"/>
        </w:rPr>
        <w:t xml:space="preserve">How the historical member, policy, provider and claims data of the legacy platform is moved to the vendor-delivered platform with full reconciliation, a tested rollback, and no silent data loss — and how the program proves that before it is allowed to carry live enrollment and claims traffic. This plan is the owning document for transition requirements </w:t>
      </w:r>
      <w:r>
        <w:rPr>
          <w:b/>
          <w:i w:val="0"/>
        </w:rPr>
        <w:t>TR-001 through TR-007</w:t>
      </w:r>
      <w:r>
        <w:rPr>
          <w:b w:val="0"/>
          <w:i w:val="0"/>
        </w:rPr>
        <w:t xml:space="preserve">, which are stated in the </w:t>
      </w:r>
      <w:r>
        <w:rPr>
          <w:b w:val="0"/>
          <w:i w:val="0"/>
        </w:rPr>
        <w:t>Business Requirements Document</w:t>
      </w:r>
      <w:r>
        <w:rPr>
          <w:b w:val="0"/>
          <w:i w:val="0"/>
        </w:rPr>
        <w:t xml:space="preserve"> and traced in the </w:t>
      </w:r>
      <w:r>
        <w:rPr>
          <w:b w:val="0"/>
          <w:i w:val="0"/>
        </w:rPr>
        <w:t>Requirements Traceability Matrix</w:t>
      </w:r>
      <w:r>
        <w:rPr>
          <w:b w:val="0"/>
          <w:i w:val="0"/>
        </w:rPr>
        <w:t xml:space="preserve"> (gap </w:t>
      </w:r>
      <w:r>
        <w:rPr>
          <w:b/>
          <w:i w:val="0"/>
        </w:rPr>
        <w:t>G-01</w:t>
      </w:r>
      <w:r>
        <w:rPr>
          <w:b w:val="0"/>
          <w:i w:val="0"/>
        </w:rPr>
        <w:t>), but until now were specified only inside the FSD and Test Strategy rather than in a plan of their own.</w:t>
      </w:r>
    </w:p>
    <w:p>
      <w:r>
        <w:rPr>
          <w:b w:val="0"/>
          <w:i w:val="0"/>
        </w:rPr>
        <w:t>7</w:t>
      </w:r>
      <w:r>
        <w:rPr>
          <w:b w:val="0"/>
          <w:i w:val="0"/>
        </w:rPr>
        <w:t>Transition reqs owned (TR-001–07)</w:t>
      </w:r>
    </w:p>
    <w:p>
      <w:r>
        <w:rPr>
          <w:b w:val="0"/>
          <w:i w:val="0"/>
        </w:rPr>
        <w:t>3</w:t>
      </w:r>
      <w:r>
        <w:rPr>
          <w:b w:val="0"/>
          <w:i w:val="0"/>
        </w:rPr>
        <w:t>Full-volume dry runs</w:t>
      </w:r>
    </w:p>
    <w:p>
      <w:r>
        <w:rPr>
          <w:b w:val="0"/>
          <w:i w:val="0"/>
        </w:rPr>
        <w:t>100%</w:t>
      </w:r>
      <w:r>
        <w:rPr>
          <w:b w:val="0"/>
          <w:i w:val="0"/>
        </w:rPr>
        <w:t>Reconciliation, not sampling</w:t>
      </w:r>
    </w:p>
    <w:p>
      <w:r>
        <w:rPr>
          <w:b w:val="0"/>
          <w:i w:val="0"/>
        </w:rPr>
        <w:t>16 Mar 2027</w:t>
      </w:r>
      <w:r>
        <w:rPr>
          <w:b w:val="0"/>
          <w:i w:val="0"/>
        </w:rPr>
        <w:t>Data Conversion sign-off</w:t>
      </w:r>
    </w:p>
    <w:p>
      <w:r>
        <w:rPr>
          <w:b w:val="0"/>
          <w:i w:val="0"/>
        </w:rPr>
        <w:t>24 Aug 2027</w:t>
      </w:r>
      <w:r>
        <w:rPr>
          <w:b w:val="0"/>
          <w:i w:val="0"/>
        </w:rPr>
        <w:t>Production cutover</w:t>
      </w:r>
    </w:p>
    <w:p>
      <w:pPr>
        <w:pStyle w:val="Heading1"/>
      </w:pPr>
      <w:r>
        <w:t>1 · Purpose, scope and what this plan owns G-01</w:t>
      </w:r>
    </w:p>
    <w:p>
      <w:r>
        <w:rPr>
          <w:b w:val="0"/>
          <w:i w:val="0"/>
        </w:rPr>
        <w:t>The RTM records G-01 as an open gap: nine transition requirements name conversion behaviour that was specified in the FSD and the Test Strategy but owned by no single maintained document. A conversion whose rules live only inside a test plan is a conversion whose rules change silently when the test plan is revised. This plan is that single owning document. It states the rules once, names an owner for each, and makes the sign-off a gate.</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This plan owns</w:t>
            </w:r>
          </w:p>
        </w:tc>
        <w:tc>
          <w:tcPr>
            <w:tcW w:type="dxa" w:w="3312"/>
          </w:tcPr>
          <w:p>
            <w:r>
              <w:rPr>
                <w:sz w:val="17"/>
              </w:rPr>
            </w:r>
            <w:r>
              <w:rPr>
                <w:b/>
                <w:i w:val="0"/>
                <w:sz w:val="17"/>
              </w:rPr>
              <w:t>Requirement (from the BRD)</w:t>
            </w:r>
          </w:p>
        </w:tc>
        <w:tc>
          <w:tcPr>
            <w:tcW w:type="dxa" w:w="3312"/>
          </w:tcPr>
          <w:p>
            <w:r>
              <w:rPr>
                <w:sz w:val="17"/>
              </w:rPr>
            </w:r>
            <w:r>
              <w:rPr>
                <w:b/>
                <w:i w:val="0"/>
                <w:sz w:val="17"/>
              </w:rPr>
              <w:t>Owner</w:t>
            </w:r>
          </w:p>
        </w:tc>
      </w:tr>
      <w:tr>
        <w:tc>
          <w:tcPr>
            <w:tcW w:type="dxa" w:w="3312"/>
          </w:tcPr>
          <w:p>
            <w:r>
              <w:rPr>
                <w:sz w:val="17"/>
              </w:rPr>
            </w:r>
            <w:r>
              <w:rPr>
                <w:b w:val="0"/>
                <w:i w:val="0"/>
                <w:sz w:val="17"/>
              </w:rPr>
              <w:t>Reconciliation</w:t>
            </w:r>
          </w:p>
        </w:tc>
        <w:tc>
          <w:tcPr>
            <w:tcW w:type="dxa" w:w="3312"/>
          </w:tcPr>
          <w:p>
            <w:r>
              <w:rPr>
                <w:sz w:val="17"/>
              </w:rPr>
            </w:r>
            <w:r>
              <w:rPr>
                <w:b/>
                <w:i w:val="0"/>
                <w:sz w:val="17"/>
              </w:rPr>
              <w:t>TR-001</w:t>
            </w:r>
            <w:r>
              <w:rPr>
                <w:b w:val="0"/>
                <w:i w:val="0"/>
                <w:sz w:val="17"/>
              </w:rPr>
              <w:t xml:space="preserve"> — historical member, policy, provider and claims data converted with 100% record and control-total reconciliation</w:t>
            </w:r>
          </w:p>
        </w:tc>
        <w:tc>
          <w:tcPr>
            <w:tcW w:type="dxa" w:w="3312"/>
          </w:tcPr>
          <w:p>
            <w:r>
              <w:rPr>
                <w:sz w:val="17"/>
              </w:rPr>
            </w:r>
            <w:r>
              <w:rPr>
                <w:b w:val="0"/>
                <w:i w:val="0"/>
                <w:sz w:val="17"/>
              </w:rPr>
              <w:t>T. McCormick</w:t>
            </w:r>
          </w:p>
        </w:tc>
      </w:tr>
      <w:tr>
        <w:tc>
          <w:tcPr>
            <w:tcW w:type="dxa" w:w="3312"/>
          </w:tcPr>
          <w:p>
            <w:r>
              <w:rPr>
                <w:sz w:val="17"/>
              </w:rPr>
            </w:r>
            <w:r>
              <w:rPr>
                <w:b w:val="0"/>
                <w:i w:val="0"/>
                <w:sz w:val="17"/>
              </w:rPr>
              <w:t>De-duplication</w:t>
            </w:r>
          </w:p>
        </w:tc>
        <w:tc>
          <w:tcPr>
            <w:tcW w:type="dxa" w:w="3312"/>
          </w:tcPr>
          <w:p>
            <w:r>
              <w:rPr>
                <w:sz w:val="17"/>
              </w:rPr>
            </w:r>
            <w:r>
              <w:rPr>
                <w:b/>
                <w:i w:val="0"/>
                <w:sz w:val="17"/>
              </w:rPr>
              <w:t>TR-002</w:t>
            </w:r>
            <w:r>
              <w:rPr>
                <w:b w:val="0"/>
                <w:i w:val="0"/>
                <w:sz w:val="17"/>
              </w:rPr>
              <w:t xml:space="preserve"> — duplicate member records resolved by documented rule, every merge auditable and reversible</w:t>
            </w:r>
          </w:p>
        </w:tc>
        <w:tc>
          <w:tcPr>
            <w:tcW w:type="dxa" w:w="3312"/>
          </w:tcPr>
          <w:p>
            <w:r>
              <w:rPr>
                <w:sz w:val="17"/>
              </w:rPr>
            </w:r>
            <w:r>
              <w:rPr>
                <w:b w:val="0"/>
                <w:i w:val="0"/>
                <w:sz w:val="17"/>
              </w:rPr>
              <w:t>T. McCormick</w:t>
            </w:r>
          </w:p>
        </w:tc>
      </w:tr>
      <w:tr>
        <w:tc>
          <w:tcPr>
            <w:tcW w:type="dxa" w:w="3312"/>
          </w:tcPr>
          <w:p>
            <w:r>
              <w:rPr>
                <w:sz w:val="17"/>
              </w:rPr>
            </w:r>
            <w:r>
              <w:rPr>
                <w:b w:val="0"/>
                <w:i w:val="0"/>
                <w:sz w:val="17"/>
              </w:rPr>
              <w:t>Exception handling</w:t>
            </w:r>
          </w:p>
        </w:tc>
        <w:tc>
          <w:tcPr>
            <w:tcW w:type="dxa" w:w="3312"/>
          </w:tcPr>
          <w:p>
            <w:r>
              <w:rPr>
                <w:sz w:val="17"/>
              </w:rPr>
            </w:r>
            <w:r>
              <w:rPr>
                <w:b/>
                <w:i w:val="0"/>
                <w:sz w:val="17"/>
              </w:rPr>
              <w:t>TR-003</w:t>
            </w:r>
            <w:r>
              <w:rPr>
                <w:b w:val="0"/>
                <w:i w:val="0"/>
                <w:sz w:val="17"/>
              </w:rPr>
              <w:t xml:space="preserve"> — records that cannot be converted quarantined, reported and owned — never silently dropped</w:t>
            </w:r>
          </w:p>
        </w:tc>
        <w:tc>
          <w:tcPr>
            <w:tcW w:type="dxa" w:w="3312"/>
          </w:tcPr>
          <w:p>
            <w:r>
              <w:rPr>
                <w:sz w:val="17"/>
              </w:rPr>
            </w:r>
            <w:r>
              <w:rPr>
                <w:b w:val="0"/>
                <w:i w:val="0"/>
                <w:sz w:val="17"/>
              </w:rPr>
              <w:t>T. McCormick</w:t>
            </w:r>
          </w:p>
        </w:tc>
      </w:tr>
      <w:tr>
        <w:tc>
          <w:tcPr>
            <w:tcW w:type="dxa" w:w="3312"/>
          </w:tcPr>
          <w:p>
            <w:r>
              <w:rPr>
                <w:sz w:val="17"/>
              </w:rPr>
            </w:r>
            <w:r>
              <w:rPr>
                <w:b w:val="0"/>
                <w:i w:val="0"/>
                <w:sz w:val="17"/>
              </w:rPr>
              <w:t>Rehearsal</w:t>
            </w:r>
          </w:p>
        </w:tc>
        <w:tc>
          <w:tcPr>
            <w:tcW w:type="dxa" w:w="3312"/>
          </w:tcPr>
          <w:p>
            <w:r>
              <w:rPr>
                <w:sz w:val="17"/>
              </w:rPr>
            </w:r>
            <w:r>
              <w:rPr>
                <w:b/>
                <w:i w:val="0"/>
                <w:sz w:val="17"/>
              </w:rPr>
              <w:t>TR-004</w:t>
            </w:r>
            <w:r>
              <w:rPr>
                <w:b w:val="0"/>
                <w:i w:val="0"/>
                <w:sz w:val="17"/>
              </w:rPr>
              <w:t xml:space="preserve"> — conversion rehearsed at full volume before production execution</w:t>
            </w:r>
          </w:p>
        </w:tc>
        <w:tc>
          <w:tcPr>
            <w:tcW w:type="dxa" w:w="3312"/>
          </w:tcPr>
          <w:p>
            <w:r>
              <w:rPr>
                <w:sz w:val="17"/>
              </w:rPr>
            </w:r>
            <w:r>
              <w:rPr>
                <w:b w:val="0"/>
                <w:i w:val="0"/>
                <w:sz w:val="17"/>
              </w:rPr>
              <w:t>T. McCormick</w:t>
            </w:r>
          </w:p>
        </w:tc>
      </w:tr>
      <w:tr>
        <w:tc>
          <w:tcPr>
            <w:tcW w:type="dxa" w:w="3312"/>
          </w:tcPr>
          <w:p>
            <w:r>
              <w:rPr>
                <w:sz w:val="17"/>
              </w:rPr>
            </w:r>
            <w:r>
              <w:rPr>
                <w:b w:val="0"/>
                <w:i w:val="0"/>
                <w:sz w:val="17"/>
              </w:rPr>
              <w:t>Parallel run</w:t>
            </w:r>
          </w:p>
        </w:tc>
        <w:tc>
          <w:tcPr>
            <w:tcW w:type="dxa" w:w="3312"/>
          </w:tcPr>
          <w:p>
            <w:r>
              <w:rPr>
                <w:sz w:val="17"/>
              </w:rPr>
            </w:r>
            <w:r>
              <w:rPr>
                <w:b/>
                <w:i w:val="0"/>
                <w:sz w:val="17"/>
              </w:rPr>
              <w:t>TR-005</w:t>
            </w:r>
            <w:r>
              <w:rPr>
                <w:b w:val="0"/>
                <w:i w:val="0"/>
                <w:sz w:val="17"/>
              </w:rPr>
              <w:t xml:space="preserve"> — legacy and new platform run in parallel on representative transactions, variances explained before cutover</w:t>
            </w:r>
          </w:p>
        </w:tc>
        <w:tc>
          <w:tcPr>
            <w:tcW w:type="dxa" w:w="3312"/>
          </w:tcPr>
          <w:p>
            <w:r>
              <w:rPr>
                <w:sz w:val="17"/>
              </w:rPr>
            </w:r>
            <w:r>
              <w:rPr>
                <w:b w:val="0"/>
                <w:i w:val="0"/>
                <w:sz w:val="17"/>
              </w:rPr>
              <w:t>R. Whitfield</w:t>
            </w:r>
          </w:p>
        </w:tc>
      </w:tr>
      <w:tr>
        <w:tc>
          <w:tcPr>
            <w:tcW w:type="dxa" w:w="3312"/>
          </w:tcPr>
          <w:p>
            <w:r>
              <w:rPr>
                <w:sz w:val="17"/>
              </w:rPr>
            </w:r>
            <w:r>
              <w:rPr>
                <w:b w:val="0"/>
                <w:i w:val="0"/>
                <w:sz w:val="17"/>
              </w:rPr>
              <w:t>Outage window</w:t>
            </w:r>
          </w:p>
        </w:tc>
        <w:tc>
          <w:tcPr>
            <w:tcW w:type="dxa" w:w="3312"/>
          </w:tcPr>
          <w:p>
            <w:r>
              <w:rPr>
                <w:sz w:val="17"/>
              </w:rPr>
            </w:r>
            <w:r>
              <w:rPr>
                <w:b/>
                <w:i w:val="0"/>
                <w:sz w:val="17"/>
              </w:rPr>
              <w:t>TR-006</w:t>
            </w:r>
            <w:r>
              <w:rPr>
                <w:b w:val="0"/>
                <w:i w:val="0"/>
                <w:sz w:val="17"/>
              </w:rPr>
              <w:t xml:space="preserve"> — conversion completes within the available cutover outage window</w:t>
            </w:r>
          </w:p>
        </w:tc>
        <w:tc>
          <w:tcPr>
            <w:tcW w:type="dxa" w:w="3312"/>
          </w:tcPr>
          <w:p>
            <w:r>
              <w:rPr>
                <w:sz w:val="17"/>
              </w:rPr>
            </w:r>
            <w:r>
              <w:rPr>
                <w:b w:val="0"/>
                <w:i w:val="0"/>
                <w:sz w:val="17"/>
              </w:rPr>
              <w:t>T. McCormick</w:t>
            </w:r>
          </w:p>
        </w:tc>
      </w:tr>
      <w:tr>
        <w:tc>
          <w:tcPr>
            <w:tcW w:type="dxa" w:w="3312"/>
          </w:tcPr>
          <w:p>
            <w:r>
              <w:rPr>
                <w:sz w:val="17"/>
              </w:rPr>
            </w:r>
            <w:r>
              <w:rPr>
                <w:b w:val="0"/>
                <w:i w:val="0"/>
                <w:sz w:val="17"/>
              </w:rPr>
              <w:t>Rollback</w:t>
            </w:r>
          </w:p>
        </w:tc>
        <w:tc>
          <w:tcPr>
            <w:tcW w:type="dxa" w:w="3312"/>
          </w:tcPr>
          <w:p>
            <w:r>
              <w:rPr>
                <w:sz w:val="17"/>
              </w:rPr>
            </w:r>
            <w:r>
              <w:rPr>
                <w:b/>
                <w:i w:val="0"/>
                <w:sz w:val="17"/>
              </w:rPr>
              <w:t>TR-007</w:t>
            </w:r>
            <w:r>
              <w:rPr>
                <w:b w:val="0"/>
                <w:i w:val="0"/>
                <w:sz w:val="17"/>
              </w:rPr>
              <w:t xml:space="preserve"> — a tested rollback path exists up to the defined point of no return</w:t>
            </w:r>
          </w:p>
        </w:tc>
        <w:tc>
          <w:tcPr>
            <w:tcW w:type="dxa" w:w="3312"/>
          </w:tcPr>
          <w:p>
            <w:r>
              <w:rPr>
                <w:sz w:val="17"/>
              </w:rPr>
            </w:r>
            <w:r>
              <w:rPr>
                <w:b w:val="0"/>
                <w:i w:val="0"/>
                <w:sz w:val="17"/>
              </w:rPr>
              <w:t>M. Alvarez</w:t>
            </w:r>
          </w:p>
        </w:tc>
      </w:tr>
    </w:tbl>
    <w:p/>
    <w:p>
      <w:r>
        <w:rPr>
          <w:b/>
          <w:i w:val="0"/>
        </w:rPr>
        <w:t>Out of scope, by design.</w:t>
      </w:r>
      <w:r>
        <w:rPr>
          <w:b w:val="0"/>
          <w:i w:val="0"/>
        </w:rPr>
        <w:t xml:space="preserve"> TR-008/009 (training, process documentation) belong to the </w:t>
      </w:r>
      <w:r>
        <w:rPr>
          <w:b w:val="0"/>
          <w:i w:val="0"/>
        </w:rPr>
        <w:t>Training Plan</w:t>
      </w:r>
      <w:r>
        <w:rPr>
          <w:b w:val="0"/>
          <w:i w:val="0"/>
        </w:rPr>
        <w:t xml:space="preserve">; TR-010 (hypercare) and the cutover runbook belong to the </w:t>
      </w:r>
      <w:r>
        <w:rPr>
          <w:b w:val="0"/>
          <w:i w:val="0"/>
        </w:rPr>
        <w:t>Cutover Plan</w:t>
      </w:r>
      <w:r>
        <w:rPr>
          <w:b w:val="0"/>
          <w:i w:val="0"/>
        </w:rPr>
        <w:t>; TR-011 (legacy read-only retention) and TR-012 (member notification) are named there too. This plan stops at the moment converted data is accepted into production; what happens to the people and the process at that moment is the Cutover and Training plans' work.</w:t>
      </w:r>
    </w:p>
    <w:p>
      <w:pPr>
        <w:pStyle w:val="Heading1"/>
      </w:pPr>
      <w:r>
        <w:t>2 · What is being converted Data scope</w:t>
      </w:r>
    </w:p>
    <w:p>
      <w:r>
        <w:rPr>
          <w:b w:val="0"/>
          <w:i w:val="0"/>
        </w:rPr>
        <w:t>Four data domains move, and they do not move independently — a claim references a member, a member holds a policy, a policy names a provider network. The conversion sequence respects those dependencies: reference data first, then the entities that depend on it, then transactional history last. Loading claims before the members and providers they reference would produce orphaned transactions that reconcile to nothing — so the sequence is a correctness control, not merely an efficiency choice.</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Domain</w:t>
            </w:r>
          </w:p>
        </w:tc>
        <w:tc>
          <w:tcPr>
            <w:tcW w:type="dxa" w:w="3312"/>
          </w:tcPr>
          <w:p>
            <w:r>
              <w:rPr>
                <w:sz w:val="17"/>
              </w:rPr>
            </w:r>
            <w:r>
              <w:rPr>
                <w:b/>
                <w:i w:val="0"/>
                <w:sz w:val="17"/>
              </w:rPr>
              <w:t>Contents</w:t>
            </w:r>
          </w:p>
        </w:tc>
        <w:tc>
          <w:tcPr>
            <w:tcW w:type="dxa" w:w="3312"/>
          </w:tcPr>
          <w:p>
            <w:r>
              <w:rPr>
                <w:sz w:val="17"/>
              </w:rPr>
            </w:r>
            <w:r>
              <w:rPr>
                <w:b/>
                <w:i w:val="0"/>
                <w:sz w:val="17"/>
              </w:rPr>
              <w:t>Principal conversion risk</w:t>
            </w:r>
          </w:p>
        </w:tc>
      </w:tr>
      <w:tr>
        <w:tc>
          <w:tcPr>
            <w:tcW w:type="dxa" w:w="3312"/>
          </w:tcPr>
          <w:p>
            <w:r>
              <w:rPr>
                <w:sz w:val="17"/>
              </w:rPr>
            </w:r>
            <w:r>
              <w:rPr>
                <w:b w:val="0"/>
                <w:i w:val="0"/>
                <w:sz w:val="17"/>
              </w:rPr>
              <w:t>Member &amp; policy</w:t>
            </w:r>
          </w:p>
        </w:tc>
        <w:tc>
          <w:tcPr>
            <w:tcW w:type="dxa" w:w="3312"/>
          </w:tcPr>
          <w:p>
            <w:r>
              <w:rPr>
                <w:sz w:val="17"/>
              </w:rPr>
            </w:r>
            <w:r>
              <w:rPr>
                <w:b w:val="0"/>
                <w:i w:val="0"/>
                <w:sz w:val="17"/>
              </w:rPr>
              <w:t>Enrolled members, dependents, coverage elections, plan-year accumulator balances (deductible, out-of-pocket)</w:t>
            </w:r>
          </w:p>
        </w:tc>
        <w:tc>
          <w:tcPr>
            <w:tcW w:type="dxa" w:w="3312"/>
          </w:tcPr>
          <w:p>
            <w:r>
              <w:rPr>
                <w:sz w:val="17"/>
              </w:rPr>
            </w:r>
            <w:r>
              <w:rPr>
                <w:b w:val="0"/>
                <w:i w:val="0"/>
                <w:sz w:val="17"/>
              </w:rPr>
              <w:t>Accumulator continuity across the conversion boundary (</w:t>
            </w:r>
            <w:r>
              <w:rPr>
                <w:b/>
                <w:i w:val="0"/>
                <w:sz w:val="17"/>
              </w:rPr>
              <w:t>FS-008</w:t>
            </w:r>
            <w:r>
              <w:rPr>
                <w:b w:val="0"/>
                <w:i w:val="0"/>
                <w:sz w:val="17"/>
              </w:rPr>
              <w:t>)</w:t>
            </w:r>
          </w:p>
        </w:tc>
      </w:tr>
      <w:tr>
        <w:tc>
          <w:tcPr>
            <w:tcW w:type="dxa" w:w="3312"/>
          </w:tcPr>
          <w:p>
            <w:r>
              <w:rPr>
                <w:sz w:val="17"/>
              </w:rPr>
            </w:r>
            <w:r>
              <w:rPr>
                <w:b w:val="0"/>
                <w:i w:val="0"/>
                <w:sz w:val="17"/>
              </w:rPr>
              <w:t>Provider</w:t>
            </w:r>
          </w:p>
        </w:tc>
        <w:tc>
          <w:tcPr>
            <w:tcW w:type="dxa" w:w="3312"/>
          </w:tcPr>
          <w:p>
            <w:r>
              <w:rPr>
                <w:sz w:val="17"/>
              </w:rPr>
            </w:r>
            <w:r>
              <w:rPr>
                <w:b w:val="0"/>
                <w:i w:val="0"/>
                <w:sz w:val="17"/>
              </w:rPr>
              <w:t>Contracted providers, networks, fee schedules, effective-dated participation</w:t>
            </w:r>
          </w:p>
        </w:tc>
        <w:tc>
          <w:tcPr>
            <w:tcW w:type="dxa" w:w="3312"/>
          </w:tcPr>
          <w:p>
            <w:r>
              <w:rPr>
                <w:sz w:val="17"/>
              </w:rPr>
            </w:r>
            <w:r>
              <w:rPr>
                <w:b w:val="0"/>
                <w:i w:val="0"/>
                <w:sz w:val="17"/>
              </w:rPr>
              <w:t xml:space="preserve">Effective-dating: a provider's network status must be correct </w:t>
            </w:r>
            <w:r>
              <w:rPr>
                <w:b w:val="0"/>
                <w:i/>
                <w:sz w:val="17"/>
              </w:rPr>
              <w:t>as of each historical service date</w:t>
            </w:r>
          </w:p>
        </w:tc>
      </w:tr>
      <w:tr>
        <w:tc>
          <w:tcPr>
            <w:tcW w:type="dxa" w:w="3312"/>
          </w:tcPr>
          <w:p>
            <w:r>
              <w:rPr>
                <w:sz w:val="17"/>
              </w:rPr>
            </w:r>
            <w:r>
              <w:rPr>
                <w:b w:val="0"/>
                <w:i w:val="0"/>
                <w:sz w:val="17"/>
              </w:rPr>
              <w:t>Claims history</w:t>
            </w:r>
          </w:p>
        </w:tc>
        <w:tc>
          <w:tcPr>
            <w:tcW w:type="dxa" w:w="3312"/>
          </w:tcPr>
          <w:p>
            <w:r>
              <w:rPr>
                <w:sz w:val="17"/>
              </w:rPr>
            </w:r>
            <w:r>
              <w:rPr>
                <w:b w:val="0"/>
                <w:i w:val="0"/>
                <w:sz w:val="17"/>
              </w:rPr>
              <w:t>Adjudicated claims, payment records, adjustment history, accumulator-affecting transactions</w:t>
            </w:r>
          </w:p>
        </w:tc>
        <w:tc>
          <w:tcPr>
            <w:tcW w:type="dxa" w:w="3312"/>
          </w:tcPr>
          <w:p>
            <w:r>
              <w:rPr>
                <w:sz w:val="17"/>
              </w:rPr>
            </w:r>
            <w:r>
              <w:rPr>
                <w:b w:val="0"/>
                <w:i w:val="0"/>
                <w:sz w:val="17"/>
              </w:rPr>
              <w:t>Volume and data quality — the largest, oldest, dirtiest domain (</w:t>
            </w:r>
            <w:r>
              <w:rPr>
                <w:b/>
                <w:i w:val="0"/>
                <w:sz w:val="17"/>
              </w:rPr>
              <w:t>I-001</w:t>
            </w:r>
            <w:r>
              <w:rPr>
                <w:b w:val="0"/>
                <w:i w:val="0"/>
                <w:sz w:val="17"/>
              </w:rPr>
              <w:t>)</w:t>
            </w:r>
          </w:p>
        </w:tc>
      </w:tr>
      <w:tr>
        <w:tc>
          <w:tcPr>
            <w:tcW w:type="dxa" w:w="3312"/>
          </w:tcPr>
          <w:p>
            <w:r>
              <w:rPr>
                <w:sz w:val="17"/>
              </w:rPr>
            </w:r>
            <w:r>
              <w:rPr>
                <w:b w:val="0"/>
                <w:i w:val="0"/>
                <w:sz w:val="17"/>
              </w:rPr>
              <w:t>Financial / commission</w:t>
            </w:r>
          </w:p>
        </w:tc>
        <w:tc>
          <w:tcPr>
            <w:tcW w:type="dxa" w:w="3312"/>
          </w:tcPr>
          <w:p>
            <w:r>
              <w:rPr>
                <w:sz w:val="17"/>
              </w:rPr>
            </w:r>
            <w:r>
              <w:rPr>
                <w:b w:val="0"/>
                <w:i w:val="0"/>
                <w:sz w:val="17"/>
              </w:rPr>
              <w:t>Commission calculations, payment ledgers tied to the Commission Management integration</w:t>
            </w:r>
          </w:p>
        </w:tc>
        <w:tc>
          <w:tcPr>
            <w:tcW w:type="dxa" w:w="3312"/>
          </w:tcPr>
          <w:p>
            <w:r>
              <w:rPr>
                <w:sz w:val="17"/>
              </w:rPr>
            </w:r>
            <w:r>
              <w:rPr>
                <w:b w:val="0"/>
                <w:i w:val="0"/>
                <w:sz w:val="17"/>
              </w:rPr>
              <w:t>Legacy calculation logic differing from the new spec (</w:t>
            </w:r>
            <w:r>
              <w:rPr>
                <w:b/>
                <w:i w:val="0"/>
                <w:sz w:val="17"/>
              </w:rPr>
              <w:t>I-004</w:t>
            </w:r>
            <w:r>
              <w:rPr>
                <w:b w:val="0"/>
                <w:i w:val="0"/>
                <w:sz w:val="17"/>
              </w:rPr>
              <w:t>)</w:t>
            </w:r>
          </w:p>
        </w:tc>
      </w:tr>
    </w:tbl>
    <w:p/>
    <w:p>
      <w:r>
        <w:rPr>
          <w:b/>
          <w:i w:val="0"/>
        </w:rPr>
        <w:t>The accumulator is the highest-consequence field in the conversion.</w:t>
      </w:r>
      <w:r>
        <w:rPr>
          <w:b w:val="0"/>
          <w:i w:val="0"/>
        </w:rPr>
        <w:t xml:space="preserve"> FS-008 requires that a member's plan-year position — how much of their deductible and out-of-pocket maximum they have already met — is continuous across the conversion boundary. A member who has met their deductible on the legacy platform on the day before cutover must not be asked to meet it again on the day after. This is not a reporting nicety: an incorrect accumulator causes incorrect member cost-share on the very first claim adjudicated post-cutover, and it is visible to the member immediately. Accumulator reconciliation is therefore a named control-total in every dry run, not a field checked at the end.</w:t>
      </w:r>
    </w:p>
    <w:p>
      <w:r>
        <w:rPr>
          <w:b/>
          <w:i w:val="0"/>
        </w:rPr>
        <w:t>Claims history dominates the risk.</w:t>
      </w:r>
      <w:r>
        <w:rPr>
          <w:b w:val="0"/>
          <w:i w:val="0"/>
        </w:rPr>
        <w:t xml:space="preserve"> It is the largest domain by record count, the oldest (so the most likely to carry data-quality debt accumulated over years of legacy operation), and the domain where the duplicate-record problem I-001 surfaced. It is also the domain whose conversion time drives whether TR-006's outage window is met. For all three reasons the plan sequences claims conversion last and rehearses it hardest — the dry runs in §5 exist primarily to de-risk this domain, because the other three are comparatively small and clean.</w:t>
      </w:r>
    </w:p>
    <w:p>
      <w:pPr>
        <w:pStyle w:val="Heading1"/>
      </w:pPr>
      <w:r>
        <w:t>3 · The conversion pipeline TR-001–003</w:t>
      </w:r>
    </w:p>
    <w:p>
      <w:r>
        <w:rPr>
          <w:b w:val="0"/>
          <w:i w:val="0"/>
        </w:rPr>
        <w:t>Every record travels the same five stages. The design principle is that a record can leave the pipeline in exactly two ways — converted-and-reconciled, or quarantined-and-owned. There is no third path in which a record simply disappears, because a record that silently fails to convert is a member whose claims will not adjudicate, discovered weeks later by that member.</w:t>
      </w:r>
    </w:p>
    <w:p>
      <w:r>
        <w:rPr>
          <w:b w:val="0"/>
          <w:i w:val="0"/>
        </w:rPr>
        <w:t>1</w:t>
      </w:r>
      <w:r>
        <w:rPr>
          <w:b w:val="0"/>
          <w:i w:val="0"/>
        </w:rPr>
        <w:t>Extract</w:t>
      </w:r>
      <w:r>
        <w:rPr>
          <w:b w:val="0"/>
          <w:i w:val="0"/>
        </w:rPr>
        <w:t>Pull from the legacy platform against a frozen snapshot. Every extract is counted at source: record counts by domain and financial control totals (sum of accumulator balances, sum of claim payments) are captured before a single record is transformed, because reconciliation is meaningless without a trusted starting number.</w:t>
      </w:r>
    </w:p>
    <w:p>
      <w:r>
        <w:rPr>
          <w:b w:val="0"/>
          <w:i w:val="0"/>
        </w:rPr>
        <w:t>2</w:t>
      </w:r>
      <w:r>
        <w:rPr>
          <w:b w:val="0"/>
          <w:i w:val="0"/>
        </w:rPr>
        <w:t>Profile &amp; cleanse</w:t>
      </w:r>
      <w:r>
        <w:rPr>
          <w:b w:val="0"/>
          <w:i w:val="0"/>
        </w:rPr>
        <w:t xml:space="preserve">Assess data quality and apply documented cleansing rules. This is where </w:t>
      </w:r>
      <w:r>
        <w:rPr>
          <w:b/>
          <w:i w:val="0"/>
        </w:rPr>
        <w:t>I-001</w:t>
      </w:r>
      <w:r>
        <w:rPr>
          <w:b w:val="0"/>
          <w:i w:val="0"/>
        </w:rPr>
        <w:t xml:space="preserve"> lives — early profiling revealed higher-than-expected duplicate member records in historical claims data; a de-duplication pass was added to the pipeline (see §4). Cleansing rules are versioned and reviewed; a rule is never applied that isn't written down, because a silent cleanse is indistinguishable from data loss.</w:t>
      </w:r>
    </w:p>
    <w:p>
      <w:r>
        <w:rPr>
          <w:b w:val="0"/>
          <w:i w:val="0"/>
        </w:rPr>
        <w:t>3</w:t>
      </w:r>
      <w:r>
        <w:rPr>
          <w:b w:val="0"/>
          <w:i w:val="0"/>
        </w:rPr>
        <w:t>Transform &amp; map</w:t>
      </w:r>
      <w:r>
        <w:rPr>
          <w:b w:val="0"/>
          <w:i w:val="0"/>
        </w:rPr>
        <w:t xml:space="preserve">Map legacy structures to the new platform's model, including effective-dated provider participation and accumulator carry-forward. Where legacy behaviour and the new spec disagree — the </w:t>
      </w:r>
      <w:r>
        <w:rPr>
          <w:b/>
          <w:i w:val="0"/>
        </w:rPr>
        <w:t>I-004</w:t>
      </w:r>
      <w:r>
        <w:rPr>
          <w:b w:val="0"/>
          <w:i w:val="0"/>
        </w:rPr>
        <w:t xml:space="preserve"> Commission divergence is the known case — the FSD's resolution is authoritative and is applied here, not re-litigated per record.</w:t>
      </w:r>
    </w:p>
    <w:p>
      <w:r>
        <w:rPr>
          <w:b w:val="0"/>
          <w:i w:val="0"/>
        </w:rPr>
        <w:t>4</w:t>
      </w:r>
      <w:r>
        <w:rPr>
          <w:b w:val="0"/>
          <w:i w:val="0"/>
        </w:rPr>
        <w:t>Load &amp; reconcile</w:t>
      </w:r>
      <w:r>
        <w:rPr>
          <w:b w:val="0"/>
          <w:i w:val="0"/>
        </w:rPr>
        <w:t xml:space="preserve">Load into the target and reconcile to the source counts and control totals from stage 1. </w:t>
      </w:r>
      <w:r>
        <w:rPr>
          <w:b/>
          <w:i w:val="0"/>
        </w:rPr>
        <w:t>TR-001</w:t>
      </w:r>
      <w:r>
        <w:rPr>
          <w:b w:val="0"/>
          <w:i w:val="0"/>
        </w:rPr>
        <w:t xml:space="preserve"> requires 100% record and control-total reconciliation — not a sample. A domain is not "converted" until its loaded counts and financial totals equal its extracted counts and totals, less exactly the records accounted for in quarantine.</w:t>
      </w:r>
    </w:p>
    <w:p>
      <w:r>
        <w:rPr>
          <w:b w:val="0"/>
          <w:i w:val="0"/>
        </w:rPr>
        <w:t>5</w:t>
      </w:r>
      <w:r>
        <w:rPr>
          <w:b w:val="0"/>
          <w:i w:val="0"/>
        </w:rPr>
        <w:t>Quarantine &amp; account</w:t>
      </w:r>
      <w:r>
        <w:rPr>
          <w:b/>
          <w:i w:val="0"/>
        </w:rPr>
        <w:t>TR-003</w:t>
      </w:r>
      <w:r>
        <w:rPr>
          <w:b w:val="0"/>
          <w:i w:val="0"/>
        </w:rPr>
        <w:t>: records that cannot be converted are quarantined, reported and owned by a named business data owner — never dropped. The quarantine is itself reconciled: extracted = loaded + quarantined, with no remainder. An unexplained remainder halts sign-off.</w:t>
      </w:r>
    </w:p>
    <w:p>
      <w:r>
        <w:rPr>
          <w:b/>
          <w:i w:val="0"/>
        </w:rPr>
        <w:t>The reconciliation identity that governs sign-off:</w:t>
      </w:r>
      <w:r>
        <w:rPr>
          <w:b w:val="0"/>
          <w:i w:val="0"/>
        </w:rPr>
        <w:t xml:space="preserve"> for every domain, </w:t>
      </w:r>
      <w:r>
        <w:rPr>
          <w:b w:val="0"/>
          <w:i w:val="0"/>
        </w:rPr>
        <w:t>extracted = loaded + quarantined</w:t>
      </w:r>
      <w:r>
        <w:rPr>
          <w:b w:val="0"/>
          <w:i w:val="0"/>
        </w:rPr>
        <w:t xml:space="preserve">, and </w:t>
      </w:r>
      <w:r>
        <w:rPr>
          <w:b w:val="0"/>
          <w:i w:val="0"/>
        </w:rPr>
        <w:t>Σ(source control totals) = Σ(target control totals) + Σ(quarantined value)</w:t>
      </w:r>
      <w:r>
        <w:rPr>
          <w:b w:val="0"/>
          <w:i w:val="0"/>
        </w:rPr>
        <w:t>. If either identity leaves a remainder that cannot be explained by a named quarantine record, the conversion has lost data, and Data Conversion Sign-off (16 Mar 2027) cannot be given.</w:t>
      </w:r>
    </w:p>
    <w:p>
      <w:pPr>
        <w:pStyle w:val="Heading1"/>
      </w:pPr>
      <w:r>
        <w:t>4 · De-duplication — auditable and reversible TR-002 · I-001</w:t>
      </w:r>
    </w:p>
    <w:p>
      <w:r>
        <w:rPr>
          <w:b w:val="0"/>
          <w:i w:val="0"/>
        </w:rPr>
        <w:t xml:space="preserve">TR-002 is deceptively demanding: duplicate member records must be resolved </w:t>
      </w:r>
      <w:r>
        <w:rPr>
          <w:b w:val="0"/>
          <w:i/>
        </w:rPr>
        <w:t>by documented rule</w:t>
      </w:r>
      <w:r>
        <w:rPr>
          <w:b w:val="0"/>
          <w:i w:val="0"/>
        </w:rPr>
        <w:t xml:space="preserve">, and every merge must be </w:t>
      </w:r>
      <w:r>
        <w:rPr>
          <w:b w:val="0"/>
          <w:i/>
        </w:rPr>
        <w:t>auditable and reversible</w:t>
      </w:r>
      <w:r>
        <w:rPr>
          <w:b w:val="0"/>
          <w:i w:val="0"/>
        </w:rPr>
        <w:t>. Reversibility is the hard part. A merge that cannot be undone is a decision made permanent before it has been proven right, and member-record merges are exactly the decisions most likely to be wrong — two people with the same name and date of birth are not the same member, and a merge that assumes they are creates a privacy incident, not a data-quality improvement.</w:t>
      </w:r>
    </w:p>
    <w:p>
      <w:pPr>
        <w:pStyle w:val="ListBullet"/>
      </w:pPr>
      <w:r>
        <w:rPr>
          <w:b/>
          <w:i w:val="0"/>
        </w:rPr>
        <w:t>Rule-based, not judgement-based at scale.</w:t>
      </w:r>
      <w:r>
        <w:rPr>
          <w:b w:val="0"/>
          <w:i w:val="0"/>
        </w:rPr>
        <w:t xml:space="preserve"> Merges are proposed by documented matching rules (identifiers, demographics, coverage overlap). The rule that proposed each merge is recorded against it, so a wrong merge is traced to a wrong rule and the rule is corrected once, for all records it touched.</w:t>
      </w:r>
    </w:p>
    <w:p>
      <w:pPr>
        <w:pStyle w:val="ListBullet"/>
      </w:pPr>
      <w:r>
        <w:rPr>
          <w:b/>
          <w:i w:val="0"/>
        </w:rPr>
        <w:t>Every merge is journaled.</w:t>
      </w:r>
      <w:r>
        <w:rPr>
          <w:b w:val="0"/>
          <w:i w:val="0"/>
        </w:rPr>
        <w:t xml:space="preserve"> The pre-merge state of both records is retained. "Reversible" means the original two records can be reconstructed exactly — not approximately — from the journal.</w:t>
      </w:r>
    </w:p>
    <w:p>
      <w:pPr>
        <w:pStyle w:val="ListBullet"/>
      </w:pPr>
      <w:r>
        <w:rPr>
          <w:b/>
          <w:i w:val="0"/>
        </w:rPr>
        <w:t>Ambiguous matches are quarantined, not merged.</w:t>
      </w:r>
      <w:r>
        <w:rPr>
          <w:b w:val="0"/>
          <w:i w:val="0"/>
        </w:rPr>
        <w:t xml:space="preserve"> Where the rule is not confident, the record goes to the TR-003 quarantine for a named data owner to adjudicate. The pipeline never guesses on identity.</w:t>
      </w:r>
    </w:p>
    <w:p>
      <w:r>
        <w:rPr>
          <w:b/>
          <w:i w:val="0"/>
        </w:rPr>
        <w:t>I-001 is closed, and this is why it stays closed.</w:t>
      </w:r>
      <w:r>
        <w:rPr>
          <w:b w:val="0"/>
          <w:i w:val="0"/>
        </w:rPr>
        <w:t xml:space="preserve"> The duplicate-record volume that early profiling surfaced was resolved by adding this de-duplication pass. Recording it here, as a maintained plan with a reversible journal, is what prevents the same issue re-opening silently when the pipeline is re-run for the next dry run — a fix that lives only in a closed issue ticket is a fix that the next engineer doesn't know to preserve.</w:t>
      </w:r>
    </w:p>
    <w:p>
      <w:pPr>
        <w:pStyle w:val="Heading1"/>
      </w:pPr>
      <w:r>
        <w:t>5 · The three dry runs TR-004 · D-002</w:t>
      </w:r>
    </w:p>
    <w:p>
      <w:r>
        <w:rPr>
          <w:b w:val="0"/>
          <w:i w:val="0"/>
        </w:rPr>
        <w:t xml:space="preserve">TR-004 requires the conversion to be rehearsed at full volume before it is run for real. This program does that three times, and the third rehearsal is </w:t>
      </w:r>
      <w:r>
        <w:rPr>
          <w:b/>
          <w:i w:val="0"/>
        </w:rPr>
        <w:t>pre-funded on purpose</w:t>
      </w:r>
      <w:r>
        <w:rPr>
          <w:b w:val="0"/>
          <w:i w:val="0"/>
        </w:rPr>
        <w:t xml:space="preserve">. The </w:t>
      </w:r>
      <w:r>
        <w:rPr>
          <w:b w:val="0"/>
          <w:i w:val="0"/>
        </w:rPr>
        <w:t>Test &amp; Quality Strategy</w:t>
      </w:r>
      <w:r>
        <w:rPr>
          <w:b w:val="0"/>
          <w:i w:val="0"/>
        </w:rPr>
        <w:t xml:space="preserve"> and decision </w:t>
      </w:r>
      <w:r>
        <w:rPr>
          <w:b/>
          <w:i w:val="0"/>
        </w:rPr>
        <w:t>D-002</w:t>
      </w:r>
      <w:r>
        <w:rPr>
          <w:b w:val="0"/>
          <w:i w:val="0"/>
        </w:rPr>
        <w:t xml:space="preserve"> pre-approved up to </w:t>
      </w:r>
      <w:r>
        <w:rPr>
          <w:b/>
          <w:i w:val="0"/>
        </w:rPr>
        <w:t>$150,000</w:t>
      </w:r>
      <w:r>
        <w:rPr>
          <w:b w:val="0"/>
          <w:i w:val="0"/>
        </w:rPr>
        <w:t xml:space="preserve"> of contingency for a third dry-run cycle before anyone knew whether it would be needed — because on a mandatory replacement with a fixed open-enrollment go-live, the time to discover that historical claims data is dirtier than expected is the second dry run, not the production cutover.</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Dry run</w:t>
            </w:r>
          </w:p>
        </w:tc>
        <w:tc>
          <w:tcPr>
            <w:tcW w:type="dxa" w:w="3312"/>
          </w:tcPr>
          <w:p>
            <w:r>
              <w:rPr>
                <w:sz w:val="17"/>
              </w:rPr>
            </w:r>
            <w:r>
              <w:rPr>
                <w:b/>
                <w:i w:val="0"/>
                <w:sz w:val="17"/>
              </w:rPr>
              <w:t>Purpose</w:t>
            </w:r>
          </w:p>
        </w:tc>
        <w:tc>
          <w:tcPr>
            <w:tcW w:type="dxa" w:w="3312"/>
          </w:tcPr>
          <w:p>
            <w:r>
              <w:rPr>
                <w:sz w:val="17"/>
              </w:rPr>
            </w:r>
            <w:r>
              <w:rPr>
                <w:b/>
                <w:i w:val="0"/>
                <w:sz w:val="17"/>
              </w:rPr>
              <w:t>Exit criterion</w:t>
            </w:r>
          </w:p>
        </w:tc>
      </w:tr>
      <w:tr>
        <w:tc>
          <w:tcPr>
            <w:tcW w:type="dxa" w:w="3312"/>
          </w:tcPr>
          <w:p>
            <w:r>
              <w:rPr>
                <w:sz w:val="17"/>
              </w:rPr>
            </w:r>
            <w:r>
              <w:rPr>
                <w:b w:val="0"/>
                <w:i w:val="0"/>
                <w:sz w:val="17"/>
              </w:rPr>
              <w:t>Dry Run 1</w:t>
            </w:r>
          </w:p>
        </w:tc>
        <w:tc>
          <w:tcPr>
            <w:tcW w:type="dxa" w:w="3312"/>
          </w:tcPr>
          <w:p>
            <w:r>
              <w:rPr>
                <w:sz w:val="17"/>
              </w:rPr>
            </w:r>
            <w:r>
              <w:rPr>
                <w:b w:val="0"/>
                <w:i w:val="0"/>
                <w:sz w:val="17"/>
              </w:rPr>
              <w:t>Prove the pipeline runs end-to-end at full volume; establish the reconciliation baseline; surface the bulk of data-quality exceptions</w:t>
            </w:r>
          </w:p>
        </w:tc>
        <w:tc>
          <w:tcPr>
            <w:tcW w:type="dxa" w:w="3312"/>
          </w:tcPr>
          <w:p>
            <w:r>
              <w:rPr>
                <w:sz w:val="17"/>
              </w:rPr>
            </w:r>
            <w:r>
              <w:rPr>
                <w:b w:val="0"/>
                <w:i w:val="0"/>
                <w:sz w:val="17"/>
              </w:rPr>
              <w:t>Pipeline completes; reconciliation identities computed; exception population characterised</w:t>
            </w:r>
          </w:p>
        </w:tc>
      </w:tr>
      <w:tr>
        <w:tc>
          <w:tcPr>
            <w:tcW w:type="dxa" w:w="3312"/>
          </w:tcPr>
          <w:p>
            <w:r>
              <w:rPr>
                <w:sz w:val="17"/>
              </w:rPr>
            </w:r>
            <w:r>
              <w:rPr>
                <w:b w:val="0"/>
                <w:i w:val="0"/>
                <w:sz w:val="17"/>
              </w:rPr>
              <w:t>Dry Run 2</w:t>
            </w:r>
          </w:p>
        </w:tc>
        <w:tc>
          <w:tcPr>
            <w:tcW w:type="dxa" w:w="3312"/>
          </w:tcPr>
          <w:p>
            <w:r>
              <w:rPr>
                <w:sz w:val="17"/>
              </w:rPr>
            </w:r>
            <w:r>
              <w:rPr>
                <w:b w:val="0"/>
                <w:i w:val="0"/>
                <w:sz w:val="17"/>
              </w:rPr>
              <w:t>Prove the cleansing and de-duplication rules resolve the exceptions found in Run 1; measure the conversion against the outage window (</w:t>
            </w:r>
            <w:r>
              <w:rPr>
                <w:b/>
                <w:i w:val="0"/>
                <w:sz w:val="17"/>
              </w:rPr>
              <w:t>TR-006</w:t>
            </w:r>
            <w:r>
              <w:rPr>
                <w:b w:val="0"/>
                <w:i w:val="0"/>
                <w:sz w:val="17"/>
              </w:rPr>
              <w:t>)</w:t>
            </w:r>
          </w:p>
        </w:tc>
        <w:tc>
          <w:tcPr>
            <w:tcW w:type="dxa" w:w="3312"/>
          </w:tcPr>
          <w:p>
            <w:r>
              <w:rPr>
                <w:sz w:val="17"/>
              </w:rPr>
            </w:r>
            <w:r>
              <w:rPr>
                <w:b w:val="0"/>
                <w:i w:val="0"/>
                <w:sz w:val="17"/>
              </w:rPr>
              <w:t>Exception rate materially reduced; conversion completes within the target outage duration</w:t>
            </w:r>
          </w:p>
        </w:tc>
      </w:tr>
      <w:tr>
        <w:tc>
          <w:tcPr>
            <w:tcW w:type="dxa" w:w="3312"/>
          </w:tcPr>
          <w:p>
            <w:r>
              <w:rPr>
                <w:sz w:val="17"/>
              </w:rPr>
            </w:r>
            <w:r>
              <w:rPr>
                <w:b w:val="0"/>
                <w:i w:val="0"/>
                <w:sz w:val="17"/>
              </w:rPr>
              <w:t>Dry Run 3</w:t>
            </w:r>
            <w:r>
              <w:rPr>
                <w:sz w:val="17"/>
              </w:rPr>
              <w:br/>
            </w:r>
            <w:r>
              <w:rPr>
                <w:b w:val="0"/>
                <w:i w:val="0"/>
                <w:sz w:val="17"/>
              </w:rPr>
              <w:t>(pre-funded, D-002)</w:t>
            </w:r>
          </w:p>
        </w:tc>
        <w:tc>
          <w:tcPr>
            <w:tcW w:type="dxa" w:w="3312"/>
          </w:tcPr>
          <w:p>
            <w:r>
              <w:rPr>
                <w:sz w:val="17"/>
              </w:rPr>
            </w:r>
            <w:r>
              <w:rPr>
                <w:b w:val="0"/>
                <w:i w:val="0"/>
                <w:sz w:val="17"/>
              </w:rPr>
              <w:t xml:space="preserve">Confirmation run only, executed </w:t>
            </w:r>
            <w:r>
              <w:rPr>
                <w:b w:val="0"/>
                <w:i/>
                <w:sz w:val="17"/>
              </w:rPr>
              <w:t>if</w:t>
            </w:r>
            <w:r>
              <w:rPr>
                <w:b w:val="0"/>
                <w:i w:val="0"/>
                <w:sz w:val="17"/>
              </w:rPr>
              <w:t xml:space="preserve"> Run 2 still shows the data insufficiently clean. Not a schedule slip — a pre-approved contingency</w:t>
            </w:r>
          </w:p>
        </w:tc>
        <w:tc>
          <w:tcPr>
            <w:tcW w:type="dxa" w:w="3312"/>
          </w:tcPr>
          <w:p>
            <w:r>
              <w:rPr>
                <w:sz w:val="17"/>
              </w:rPr>
            </w:r>
            <w:r>
              <w:rPr>
                <w:b w:val="0"/>
                <w:i w:val="0"/>
                <w:sz w:val="17"/>
              </w:rPr>
              <w:t>A clean run reproducible on demand; sign-off candidate</w:t>
            </w:r>
          </w:p>
        </w:tc>
      </w:tr>
    </w:tbl>
    <w:p/>
    <w:p>
      <w:r>
        <w:rPr>
          <w:b/>
          <w:i w:val="0"/>
        </w:rPr>
        <w:t>Why the pre-funding matters more than its cost.</w:t>
      </w:r>
      <w:r>
        <w:rPr>
          <w:b w:val="0"/>
          <w:i w:val="0"/>
        </w:rPr>
        <w:t xml:space="preserve"> $150,000 is small against the $11,582,050 program baseline. Its value is that it removes the incentive to declare the data "clean enough" under schedule pressure. When a third rehearsal is already funded and approved, the honest finding — "the data isn't ready, run it again" — costs nobody a difficult conversation. That is the decision D-002 actually bought.</w:t>
      </w:r>
    </w:p>
    <w:p>
      <w:pPr>
        <w:pStyle w:val="Heading1"/>
      </w:pPr>
      <w:r>
        <w:t>6 · Parallel run — the independent check TR-005</w:t>
      </w:r>
    </w:p>
    <w:p>
      <w:r>
        <w:rPr>
          <w:b w:val="0"/>
          <w:i w:val="0"/>
        </w:rPr>
        <w:t xml:space="preserve">Reconciliation proves the data </w:t>
      </w:r>
      <w:r>
        <w:rPr>
          <w:b w:val="0"/>
          <w:i/>
        </w:rPr>
        <w:t>moved</w:t>
      </w:r>
      <w:r>
        <w:rPr>
          <w:b w:val="0"/>
          <w:i w:val="0"/>
        </w:rPr>
        <w:t xml:space="preserve"> correctly. It does not prove the new platform </w:t>
      </w:r>
      <w:r>
        <w:rPr>
          <w:b w:val="0"/>
          <w:i/>
        </w:rPr>
        <w:t>processes</w:t>
      </w:r>
      <w:r>
        <w:rPr>
          <w:b w:val="0"/>
          <w:i w:val="0"/>
        </w:rPr>
        <w:t xml:space="preserve"> it correctly. TR-005 closes that gap: legacy and new platforms are run in parallel on representative transactions, and every variance is explained before cutover. This is owned by the QA / Test Lead (R. Whitfield), not the Conversion Lead, on purpose — the party that performed the conversion should not also be the sole party certifying that its output behaves correctly.</w:t>
      </w:r>
    </w:p>
    <w:p>
      <w:pPr>
        <w:pStyle w:val="ListBullet"/>
      </w:pPr>
      <w:r>
        <w:rPr>
          <w:b/>
          <w:i w:val="0"/>
        </w:rPr>
        <w:t>Representative, not exhaustive.</w:t>
      </w:r>
      <w:r>
        <w:rPr>
          <w:b w:val="0"/>
          <w:i w:val="0"/>
        </w:rPr>
        <w:t xml:space="preserve"> The parallel set is chosen to exercise the cases most likely to diverge: claims spanning a benefit change (date-of-service adjudication, </w:t>
      </w:r>
      <w:r>
        <w:rPr>
          <w:b/>
          <w:i w:val="0"/>
        </w:rPr>
        <w:t>FS-005</w:t>
      </w:r>
      <w:r>
        <w:rPr>
          <w:b w:val="0"/>
          <w:i w:val="0"/>
        </w:rPr>
        <w:t>), claims that draw down a converted accumulator (</w:t>
      </w:r>
      <w:r>
        <w:rPr>
          <w:b/>
          <w:i w:val="0"/>
        </w:rPr>
        <w:t>FS-008</w:t>
      </w:r>
      <w:r>
        <w:rPr>
          <w:b w:val="0"/>
          <w:i w:val="0"/>
        </w:rPr>
        <w:t xml:space="preserve">), and commission calculations touching the </w:t>
      </w:r>
      <w:r>
        <w:rPr>
          <w:b/>
          <w:i w:val="0"/>
        </w:rPr>
        <w:t>I-004</w:t>
      </w:r>
      <w:r>
        <w:rPr>
          <w:b w:val="0"/>
          <w:i w:val="0"/>
        </w:rPr>
        <w:t xml:space="preserve"> divergence.</w:t>
      </w:r>
    </w:p>
    <w:p>
      <w:pPr>
        <w:pStyle w:val="ListBullet"/>
      </w:pPr>
      <w:r>
        <w:rPr>
          <w:b/>
          <w:i w:val="0"/>
        </w:rPr>
        <w:t>Every variance is explained, not just counted.</w:t>
      </w:r>
      <w:r>
        <w:rPr>
          <w:b w:val="0"/>
          <w:i w:val="0"/>
        </w:rPr>
        <w:t xml:space="preserve"> A variance is either a legacy defect the new platform correctly does not reproduce, or a new-platform defect — and the two have opposite dispositions. An unexplained variance is a blocking finding.</w:t>
      </w:r>
    </w:p>
    <w:p>
      <w:pPr>
        <w:pStyle w:val="ListBullet"/>
      </w:pPr>
      <w:r>
        <w:rPr>
          <w:b/>
          <w:i w:val="0"/>
        </w:rPr>
        <w:t>Legacy behaviour is the reference where spec and code disagree.</w:t>
      </w:r>
      <w:r>
        <w:rPr>
          <w:b w:val="0"/>
          <w:i w:val="0"/>
        </w:rPr>
        <w:t xml:space="preserve"> Per </w:t>
      </w:r>
      <w:r>
        <w:rPr>
          <w:b/>
          <w:i w:val="0"/>
        </w:rPr>
        <w:t>I-004</w:t>
      </w:r>
      <w:r>
        <w:rPr>
          <w:b w:val="0"/>
          <w:i w:val="0"/>
        </w:rPr>
        <w:t>, where the legacy calculation and the written spec diverge, the FSD names the authoritative resolution; the parallel run confirms the new platform implements that resolution, not the legacy accident.</w:t>
      </w:r>
    </w:p>
    <w:p>
      <w:pPr>
        <w:pStyle w:val="Heading1"/>
      </w:pPr>
      <w:r>
        <w:t>7 · The outage window and the point of no return TR-006 · TR-007</w:t>
      </w:r>
    </w:p>
    <w:p>
      <w:r>
        <w:rPr>
          <w:b w:val="0"/>
          <w:i w:val="0"/>
        </w:rPr>
        <w:t xml:space="preserve">Production conversion runs inside a bounded outage window during the cutover weekend. Two requirements govern it, and they are in tension: TR-006 says the conversion must </w:t>
      </w:r>
      <w:r>
        <w:rPr>
          <w:b w:val="0"/>
          <w:i/>
        </w:rPr>
        <w:t>complete</w:t>
      </w:r>
      <w:r>
        <w:rPr>
          <w:b w:val="0"/>
          <w:i w:val="0"/>
        </w:rPr>
        <w:t xml:space="preserve"> within the window; TR-007 says a tested rollback must </w:t>
      </w:r>
      <w:r>
        <w:rPr>
          <w:b w:val="0"/>
          <w:i/>
        </w:rPr>
        <w:t>exist</w:t>
      </w:r>
      <w:r>
        <w:rPr>
          <w:b w:val="0"/>
          <w:i w:val="0"/>
        </w:rPr>
        <w:t xml:space="preserve"> up to a defined point of no return. The tension is deliberate — the point of no return is the moment those two requirements hand off to each other.</w:t>
      </w:r>
    </w:p>
    <w:p>
      <w:r>
        <w:rPr>
          <w:b w:val="0"/>
          <w:i w:val="0"/>
        </w:rPr>
        <w:t>T-0 · Window opens</w:t>
      </w:r>
      <w:r>
        <w:rPr>
          <w:b w:val="0"/>
          <w:i w:val="0"/>
        </w:rPr>
        <w:t>Legacy platform taken offline; final extract against the frozen snapshot begins. Rollback available: revert to legacy, no data lost.</w:t>
      </w:r>
      <w:r>
        <w:rPr>
          <w:b w:val="0"/>
          <w:i w:val="0"/>
        </w:rPr>
        <w:t>Conversion runs</w:t>
      </w:r>
      <w:r>
        <w:rPr>
          <w:b w:val="0"/>
          <w:i w:val="0"/>
        </w:rPr>
        <w:t>Pipeline executes at production volume, timed against Dry Run 2's measured duration. Rollback still available throughout.</w:t>
      </w:r>
      <w:r>
        <w:rPr>
          <w:b w:val="0"/>
          <w:i w:val="0"/>
        </w:rPr>
        <w:t>Point of no return</w:t>
      </w:r>
      <w:r>
        <w:rPr>
          <w:b/>
          <w:i w:val="0"/>
        </w:rPr>
        <w:t>The go/no-go decision.</w:t>
      </w:r>
      <w:r>
        <w:rPr>
          <w:b w:val="0"/>
          <w:i w:val="0"/>
        </w:rPr>
        <w:t xml:space="preserve"> Reconciliation identities are checked against the loaded production data. If they close, the program commits forward and the rollback path is retired. If they do not, the rollback (</w:t>
      </w:r>
      <w:r>
        <w:rPr>
          <w:b/>
          <w:i w:val="0"/>
        </w:rPr>
        <w:t>TR-007</w:t>
      </w:r>
      <w:r>
        <w:rPr>
          <w:b w:val="0"/>
          <w:i w:val="0"/>
        </w:rPr>
        <w:t>) is executed and legacy is restored — this is the last moment that choice exists.</w:t>
      </w:r>
      <w:r>
        <w:rPr>
          <w:b w:val="0"/>
          <w:i w:val="0"/>
        </w:rPr>
        <w:t>Validation &amp; smoke test</w:t>
      </w:r>
      <w:r>
        <w:rPr>
          <w:b w:val="0"/>
          <w:i w:val="0"/>
        </w:rPr>
        <w:t xml:space="preserve">Post-load validation on the new platform; the </w:t>
      </w:r>
      <w:r>
        <w:rPr>
          <w:b w:val="0"/>
          <w:i w:val="0"/>
        </w:rPr>
        <w:t>Cutover Plan</w:t>
      </w:r>
      <w:r>
        <w:rPr>
          <w:b w:val="0"/>
          <w:i w:val="0"/>
        </w:rPr>
        <w:t xml:space="preserve"> takes over here.</w:t>
      </w:r>
      <w:r>
        <w:rPr>
          <w:b w:val="0"/>
          <w:i w:val="0"/>
        </w:rPr>
        <w:t>Go-Live · 24 Aug 2027</w:t>
      </w:r>
      <w:r>
        <w:rPr>
          <w:b w:val="0"/>
          <w:i w:val="0"/>
        </w:rPr>
        <w:t>New platform carries live enrollment and claims traffic.</w:t>
      </w:r>
    </w:p>
    <w:p>
      <w:r>
        <w:rPr>
          <w:b/>
          <w:i w:val="0"/>
        </w:rPr>
        <w:t>The rollback is only real if it is rehearsed.</w:t>
      </w:r>
      <w:r>
        <w:rPr>
          <w:b w:val="0"/>
          <w:i w:val="0"/>
        </w:rPr>
        <w:t xml:space="preserve"> TR-007 does not say "a rollback path shall exist" — it says a </w:t>
      </w:r>
      <w:r>
        <w:rPr>
          <w:b w:val="0"/>
          <w:i/>
        </w:rPr>
        <w:t>tested</w:t>
      </w:r>
      <w:r>
        <w:rPr>
          <w:b w:val="0"/>
          <w:i w:val="0"/>
        </w:rPr>
        <w:t xml:space="preserve"> rollback path. A rollback executed for the first time under cutover pressure, on production data, at 3 a.m., is not a control; it is a hope. The rollback is exercised during the dry runs so that at the point of no return the decision to invoke it is a routine, practised action rather than an improvisation. The Cutover Plan carries the operational runbook for it.</w:t>
      </w:r>
    </w:p>
    <w:p>
      <w:pPr>
        <w:pStyle w:val="Heading1"/>
      </w:pPr>
      <w:r>
        <w:t>8 · Roles and sign-off authority Governance</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Role</w:t>
            </w:r>
          </w:p>
        </w:tc>
        <w:tc>
          <w:tcPr>
            <w:tcW w:type="dxa" w:w="3312"/>
          </w:tcPr>
          <w:p>
            <w:r>
              <w:rPr>
                <w:sz w:val="17"/>
              </w:rPr>
            </w:r>
            <w:r>
              <w:rPr>
                <w:b/>
                <w:i w:val="0"/>
                <w:sz w:val="17"/>
              </w:rPr>
              <w:t>Named</w:t>
            </w:r>
          </w:p>
        </w:tc>
        <w:tc>
          <w:tcPr>
            <w:tcW w:type="dxa" w:w="3312"/>
          </w:tcPr>
          <w:p>
            <w:r>
              <w:rPr>
                <w:sz w:val="17"/>
              </w:rPr>
            </w:r>
            <w:r>
              <w:rPr>
                <w:b/>
                <w:i w:val="0"/>
                <w:sz w:val="17"/>
              </w:rPr>
              <w:t>Conversion accountability</w:t>
            </w:r>
          </w:p>
        </w:tc>
      </w:tr>
      <w:tr>
        <w:tc>
          <w:tcPr>
            <w:tcW w:type="dxa" w:w="3312"/>
          </w:tcPr>
          <w:p>
            <w:r>
              <w:rPr>
                <w:sz w:val="17"/>
              </w:rPr>
            </w:r>
            <w:r>
              <w:rPr>
                <w:b w:val="0"/>
                <w:i w:val="0"/>
                <w:sz w:val="17"/>
              </w:rPr>
              <w:t>Data Conversion Lead</w:t>
            </w:r>
          </w:p>
        </w:tc>
        <w:tc>
          <w:tcPr>
            <w:tcW w:type="dxa" w:w="3312"/>
          </w:tcPr>
          <w:p>
            <w:r>
              <w:rPr>
                <w:sz w:val="17"/>
              </w:rPr>
            </w:r>
            <w:r>
              <w:rPr>
                <w:b w:val="0"/>
                <w:i w:val="0"/>
                <w:sz w:val="17"/>
              </w:rPr>
              <w:t>T. McCormick</w:t>
            </w:r>
          </w:p>
        </w:tc>
        <w:tc>
          <w:tcPr>
            <w:tcW w:type="dxa" w:w="3312"/>
          </w:tcPr>
          <w:p>
            <w:r>
              <w:rPr>
                <w:sz w:val="17"/>
              </w:rPr>
            </w:r>
            <w:r>
              <w:rPr>
                <w:b w:val="0"/>
                <w:i w:val="0"/>
                <w:sz w:val="17"/>
              </w:rPr>
              <w:t>Owns the pipeline, reconciliation, de-duplication, exception accounting and the dry-run cycle (TR-001–004, TR-006)</w:t>
            </w:r>
          </w:p>
        </w:tc>
      </w:tr>
      <w:tr>
        <w:tc>
          <w:tcPr>
            <w:tcW w:type="dxa" w:w="3312"/>
          </w:tcPr>
          <w:p>
            <w:r>
              <w:rPr>
                <w:sz w:val="17"/>
              </w:rPr>
            </w:r>
            <w:r>
              <w:rPr>
                <w:b w:val="0"/>
                <w:i w:val="0"/>
                <w:sz w:val="17"/>
              </w:rPr>
              <w:t>QA / Test Lead</w:t>
            </w:r>
          </w:p>
        </w:tc>
        <w:tc>
          <w:tcPr>
            <w:tcW w:type="dxa" w:w="3312"/>
          </w:tcPr>
          <w:p>
            <w:r>
              <w:rPr>
                <w:sz w:val="17"/>
              </w:rPr>
            </w:r>
            <w:r>
              <w:rPr>
                <w:b w:val="0"/>
                <w:i w:val="0"/>
                <w:sz w:val="17"/>
              </w:rPr>
              <w:t>R. Whitfield</w:t>
            </w:r>
          </w:p>
        </w:tc>
        <w:tc>
          <w:tcPr>
            <w:tcW w:type="dxa" w:w="3312"/>
          </w:tcPr>
          <w:p>
            <w:r>
              <w:rPr>
                <w:sz w:val="17"/>
              </w:rPr>
            </w:r>
            <w:r>
              <w:rPr>
                <w:b w:val="0"/>
                <w:i w:val="0"/>
                <w:sz w:val="17"/>
              </w:rPr>
              <w:t>Owns the independent parallel run and variance disposition (TR-005) — deliberately separate from the Conversion Lead</w:t>
            </w:r>
          </w:p>
        </w:tc>
      </w:tr>
      <w:tr>
        <w:tc>
          <w:tcPr>
            <w:tcW w:type="dxa" w:w="3312"/>
          </w:tcPr>
          <w:p>
            <w:r>
              <w:rPr>
                <w:sz w:val="17"/>
              </w:rPr>
            </w:r>
            <w:r>
              <w:rPr>
                <w:b w:val="0"/>
                <w:i w:val="0"/>
                <w:sz w:val="17"/>
              </w:rPr>
              <w:t>System Upgrade Lead</w:t>
            </w:r>
          </w:p>
        </w:tc>
        <w:tc>
          <w:tcPr>
            <w:tcW w:type="dxa" w:w="3312"/>
          </w:tcPr>
          <w:p>
            <w:r>
              <w:rPr>
                <w:sz w:val="17"/>
              </w:rPr>
            </w:r>
            <w:r>
              <w:rPr>
                <w:b w:val="0"/>
                <w:i w:val="0"/>
                <w:sz w:val="17"/>
              </w:rPr>
              <w:t>M. Alvarez</w:t>
            </w:r>
          </w:p>
        </w:tc>
        <w:tc>
          <w:tcPr>
            <w:tcW w:type="dxa" w:w="3312"/>
          </w:tcPr>
          <w:p>
            <w:r>
              <w:rPr>
                <w:sz w:val="17"/>
              </w:rPr>
            </w:r>
            <w:r>
              <w:rPr>
                <w:b w:val="0"/>
                <w:i w:val="0"/>
                <w:sz w:val="17"/>
              </w:rPr>
              <w:t>Owns the tested rollback path and the technical point-of-no-return execution (TR-007)</w:t>
            </w:r>
          </w:p>
        </w:tc>
      </w:tr>
      <w:tr>
        <w:tc>
          <w:tcPr>
            <w:tcW w:type="dxa" w:w="3312"/>
          </w:tcPr>
          <w:p>
            <w:r>
              <w:rPr>
                <w:sz w:val="17"/>
              </w:rPr>
            </w:r>
            <w:r>
              <w:rPr>
                <w:b w:val="0"/>
                <w:i w:val="0"/>
                <w:sz w:val="17"/>
              </w:rPr>
              <w:t>Business Data Owners</w:t>
            </w:r>
          </w:p>
        </w:tc>
        <w:tc>
          <w:tcPr>
            <w:tcW w:type="dxa" w:w="3312"/>
          </w:tcPr>
          <w:p>
            <w:r>
              <w:rPr>
                <w:sz w:val="17"/>
              </w:rPr>
            </w:r>
            <w:r>
              <w:rPr>
                <w:b w:val="0"/>
                <w:i w:val="0"/>
                <w:sz w:val="17"/>
              </w:rPr>
              <w:t>Per domain</w:t>
            </w:r>
          </w:p>
        </w:tc>
        <w:tc>
          <w:tcPr>
            <w:tcW w:type="dxa" w:w="3312"/>
          </w:tcPr>
          <w:p>
            <w:r>
              <w:rPr>
                <w:sz w:val="17"/>
              </w:rPr>
            </w:r>
            <w:r>
              <w:rPr>
                <w:b w:val="0"/>
                <w:i w:val="0"/>
                <w:sz w:val="17"/>
              </w:rPr>
              <w:t>Adjudicate quarantined records and ambiguous merges; no record is dropped without a named owner's decision</w:t>
            </w:r>
          </w:p>
        </w:tc>
      </w:tr>
      <w:tr>
        <w:tc>
          <w:tcPr>
            <w:tcW w:type="dxa" w:w="3312"/>
          </w:tcPr>
          <w:p>
            <w:r>
              <w:rPr>
                <w:sz w:val="17"/>
              </w:rPr>
            </w:r>
            <w:r>
              <w:rPr>
                <w:b w:val="0"/>
                <w:i w:val="0"/>
                <w:sz w:val="17"/>
              </w:rPr>
              <w:t>Program Manager</w:t>
            </w:r>
          </w:p>
        </w:tc>
        <w:tc>
          <w:tcPr>
            <w:tcW w:type="dxa" w:w="3312"/>
          </w:tcPr>
          <w:p>
            <w:r>
              <w:rPr>
                <w:sz w:val="17"/>
              </w:rPr>
            </w:r>
            <w:r>
              <w:rPr>
                <w:b w:val="0"/>
                <w:i w:val="0"/>
                <w:sz w:val="17"/>
              </w:rPr>
              <w:t>C. Tyrrell</w:t>
            </w:r>
          </w:p>
        </w:tc>
        <w:tc>
          <w:tcPr>
            <w:tcW w:type="dxa" w:w="3312"/>
          </w:tcPr>
          <w:p>
            <w:r>
              <w:rPr>
                <w:sz w:val="17"/>
              </w:rPr>
            </w:r>
            <w:r>
              <w:rPr>
                <w:b w:val="0"/>
                <w:i w:val="0"/>
                <w:sz w:val="17"/>
              </w:rPr>
              <w:t>Chairs the point-of-no-return go/no-go; owns Data Conversion Sign-off</w:t>
            </w:r>
          </w:p>
        </w:tc>
      </w:tr>
    </w:tbl>
    <w:p/>
    <w:p>
      <w:r>
        <w:rPr>
          <w:b/>
          <w:i w:val="0"/>
        </w:rPr>
        <w:t>Data Conversion Sign-off — 16 Mar 2027.</w:t>
      </w:r>
      <w:r>
        <w:rPr>
          <w:b w:val="0"/>
          <w:i w:val="0"/>
        </w:rPr>
        <w:t xml:space="preserve"> This is a gate, not a status. It is given only when: all four domains reconcile with no unexplained remainder; the exception population is fully owned; the parallel run's variances are all explained; and the rollback has been executed successfully in at least one dry run. Sign-off is the milestone the </w:t>
      </w:r>
      <w:r>
        <w:rPr>
          <w:b w:val="0"/>
          <w:i w:val="0"/>
        </w:rPr>
        <w:t>RTM</w:t>
      </w:r>
      <w:r>
        <w:rPr>
          <w:b w:val="0"/>
          <w:i w:val="0"/>
        </w:rPr>
        <w:t xml:space="preserve"> names as G-01's close date, and it precedes Integration Build Complete (11 May 2027) so that downstream build proceeds on converted, reconciled data rather than on assumptions about it.</w:t>
      </w:r>
    </w:p>
    <w:p>
      <w:pPr>
        <w:pStyle w:val="Heading1"/>
      </w:pPr>
      <w:r>
        <w:t>9 · Traceability — this plan against the RTM G-01 closed</w:t>
      </w:r>
    </w:p>
    <w:p>
      <w:r>
        <w:rPr>
          <w:b w:val="0"/>
          <w:i w:val="0"/>
        </w:rPr>
        <w:t>The RTM records TR-001 through TR-010 as transition requirements and flagged G-01 because seven of them had no owning plan. With this document, they do:</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Requirement</w:t>
            </w:r>
          </w:p>
        </w:tc>
        <w:tc>
          <w:tcPr>
            <w:tcW w:type="dxa" w:w="3312"/>
          </w:tcPr>
          <w:p>
            <w:r>
              <w:rPr>
                <w:sz w:val="17"/>
              </w:rPr>
            </w:r>
            <w:r>
              <w:rPr>
                <w:b/>
                <w:i w:val="0"/>
                <w:sz w:val="17"/>
              </w:rPr>
              <w:t>Owned by this plan in</w:t>
            </w:r>
          </w:p>
        </w:tc>
        <w:tc>
          <w:tcPr>
            <w:tcW w:type="dxa" w:w="3312"/>
          </w:tcPr>
          <w:p>
            <w:r>
              <w:rPr>
                <w:sz w:val="17"/>
              </w:rPr>
            </w:r>
            <w:r>
              <w:rPr>
                <w:b/>
                <w:i w:val="0"/>
                <w:sz w:val="17"/>
              </w:rPr>
              <w:t>Status</w:t>
            </w:r>
          </w:p>
        </w:tc>
      </w:tr>
      <w:tr>
        <w:tc>
          <w:tcPr>
            <w:tcW w:type="dxa" w:w="3312"/>
          </w:tcPr>
          <w:p>
            <w:r>
              <w:rPr>
                <w:sz w:val="17"/>
              </w:rPr>
            </w:r>
            <w:r>
              <w:rPr>
                <w:b w:val="0"/>
                <w:i w:val="0"/>
                <w:sz w:val="17"/>
              </w:rPr>
              <w:t>TR-001</w:t>
            </w:r>
          </w:p>
        </w:tc>
        <w:tc>
          <w:tcPr>
            <w:tcW w:type="dxa" w:w="3312"/>
          </w:tcPr>
          <w:p>
            <w:r>
              <w:rPr>
                <w:sz w:val="17"/>
              </w:rPr>
            </w:r>
            <w:r>
              <w:rPr>
                <w:b w:val="0"/>
                <w:i w:val="0"/>
                <w:sz w:val="17"/>
              </w:rPr>
              <w:t>§3 pipeline, §8 reconciliation gate</w:t>
            </w:r>
          </w:p>
        </w:tc>
        <w:tc>
          <w:tcPr>
            <w:tcW w:type="dxa" w:w="3312"/>
          </w:tcPr>
          <w:p>
            <w:r>
              <w:rPr>
                <w:sz w:val="17"/>
              </w:rPr>
            </w:r>
            <w:r>
              <w:rPr>
                <w:b w:val="0"/>
                <w:i w:val="0"/>
                <w:sz w:val="17"/>
              </w:rPr>
              <w:t>Owned</w:t>
            </w:r>
          </w:p>
        </w:tc>
      </w:tr>
      <w:tr>
        <w:tc>
          <w:tcPr>
            <w:tcW w:type="dxa" w:w="3312"/>
          </w:tcPr>
          <w:p>
            <w:r>
              <w:rPr>
                <w:sz w:val="17"/>
              </w:rPr>
            </w:r>
            <w:r>
              <w:rPr>
                <w:b w:val="0"/>
                <w:i w:val="0"/>
                <w:sz w:val="17"/>
              </w:rPr>
              <w:t>TR-002</w:t>
            </w:r>
          </w:p>
        </w:tc>
        <w:tc>
          <w:tcPr>
            <w:tcW w:type="dxa" w:w="3312"/>
          </w:tcPr>
          <w:p>
            <w:r>
              <w:rPr>
                <w:sz w:val="17"/>
              </w:rPr>
            </w:r>
            <w:r>
              <w:rPr>
                <w:b w:val="0"/>
                <w:i w:val="0"/>
                <w:sz w:val="17"/>
              </w:rPr>
              <w:t>§4 de-duplication (auditable + reversible)</w:t>
            </w:r>
          </w:p>
        </w:tc>
        <w:tc>
          <w:tcPr>
            <w:tcW w:type="dxa" w:w="3312"/>
          </w:tcPr>
          <w:p>
            <w:r>
              <w:rPr>
                <w:sz w:val="17"/>
              </w:rPr>
            </w:r>
            <w:r>
              <w:rPr>
                <w:b w:val="0"/>
                <w:i w:val="0"/>
                <w:sz w:val="17"/>
              </w:rPr>
              <w:t>Owned</w:t>
            </w:r>
          </w:p>
        </w:tc>
      </w:tr>
      <w:tr>
        <w:tc>
          <w:tcPr>
            <w:tcW w:type="dxa" w:w="3312"/>
          </w:tcPr>
          <w:p>
            <w:r>
              <w:rPr>
                <w:sz w:val="17"/>
              </w:rPr>
            </w:r>
            <w:r>
              <w:rPr>
                <w:b w:val="0"/>
                <w:i w:val="0"/>
                <w:sz w:val="17"/>
              </w:rPr>
              <w:t>TR-003</w:t>
            </w:r>
          </w:p>
        </w:tc>
        <w:tc>
          <w:tcPr>
            <w:tcW w:type="dxa" w:w="3312"/>
          </w:tcPr>
          <w:p>
            <w:r>
              <w:rPr>
                <w:sz w:val="17"/>
              </w:rPr>
            </w:r>
            <w:r>
              <w:rPr>
                <w:b w:val="0"/>
                <w:i w:val="0"/>
                <w:sz w:val="17"/>
              </w:rPr>
              <w:t>§3 stage 5 quarantine accounting</w:t>
            </w:r>
          </w:p>
        </w:tc>
        <w:tc>
          <w:tcPr>
            <w:tcW w:type="dxa" w:w="3312"/>
          </w:tcPr>
          <w:p>
            <w:r>
              <w:rPr>
                <w:sz w:val="17"/>
              </w:rPr>
            </w:r>
            <w:r>
              <w:rPr>
                <w:b w:val="0"/>
                <w:i w:val="0"/>
                <w:sz w:val="17"/>
              </w:rPr>
              <w:t>Owned</w:t>
            </w:r>
          </w:p>
        </w:tc>
      </w:tr>
      <w:tr>
        <w:tc>
          <w:tcPr>
            <w:tcW w:type="dxa" w:w="3312"/>
          </w:tcPr>
          <w:p>
            <w:r>
              <w:rPr>
                <w:sz w:val="17"/>
              </w:rPr>
            </w:r>
            <w:r>
              <w:rPr>
                <w:b w:val="0"/>
                <w:i w:val="0"/>
                <w:sz w:val="17"/>
              </w:rPr>
              <w:t>TR-004</w:t>
            </w:r>
          </w:p>
        </w:tc>
        <w:tc>
          <w:tcPr>
            <w:tcW w:type="dxa" w:w="3312"/>
          </w:tcPr>
          <w:p>
            <w:r>
              <w:rPr>
                <w:sz w:val="17"/>
              </w:rPr>
            </w:r>
            <w:r>
              <w:rPr>
                <w:b w:val="0"/>
                <w:i w:val="0"/>
                <w:sz w:val="17"/>
              </w:rPr>
              <w:t>§5 three dry runs</w:t>
            </w:r>
          </w:p>
        </w:tc>
        <w:tc>
          <w:tcPr>
            <w:tcW w:type="dxa" w:w="3312"/>
          </w:tcPr>
          <w:p>
            <w:r>
              <w:rPr>
                <w:sz w:val="17"/>
              </w:rPr>
            </w:r>
            <w:r>
              <w:rPr>
                <w:b w:val="0"/>
                <w:i w:val="0"/>
                <w:sz w:val="17"/>
              </w:rPr>
              <w:t>Owned</w:t>
            </w:r>
          </w:p>
        </w:tc>
      </w:tr>
      <w:tr>
        <w:tc>
          <w:tcPr>
            <w:tcW w:type="dxa" w:w="3312"/>
          </w:tcPr>
          <w:p>
            <w:r>
              <w:rPr>
                <w:sz w:val="17"/>
              </w:rPr>
            </w:r>
            <w:r>
              <w:rPr>
                <w:b w:val="0"/>
                <w:i w:val="0"/>
                <w:sz w:val="17"/>
              </w:rPr>
              <w:t>TR-005</w:t>
            </w:r>
          </w:p>
        </w:tc>
        <w:tc>
          <w:tcPr>
            <w:tcW w:type="dxa" w:w="3312"/>
          </w:tcPr>
          <w:p>
            <w:r>
              <w:rPr>
                <w:sz w:val="17"/>
              </w:rPr>
            </w:r>
            <w:r>
              <w:rPr>
                <w:b w:val="0"/>
                <w:i w:val="0"/>
                <w:sz w:val="17"/>
              </w:rPr>
              <w:t>§6 parallel run (independent QA)</w:t>
            </w:r>
          </w:p>
        </w:tc>
        <w:tc>
          <w:tcPr>
            <w:tcW w:type="dxa" w:w="3312"/>
          </w:tcPr>
          <w:p>
            <w:r>
              <w:rPr>
                <w:sz w:val="17"/>
              </w:rPr>
            </w:r>
            <w:r>
              <w:rPr>
                <w:b w:val="0"/>
                <w:i w:val="0"/>
                <w:sz w:val="17"/>
              </w:rPr>
              <w:t>Owned</w:t>
            </w:r>
          </w:p>
        </w:tc>
      </w:tr>
      <w:tr>
        <w:tc>
          <w:tcPr>
            <w:tcW w:type="dxa" w:w="3312"/>
          </w:tcPr>
          <w:p>
            <w:r>
              <w:rPr>
                <w:sz w:val="17"/>
              </w:rPr>
            </w:r>
            <w:r>
              <w:rPr>
                <w:b w:val="0"/>
                <w:i w:val="0"/>
                <w:sz w:val="17"/>
              </w:rPr>
              <w:t>TR-006</w:t>
            </w:r>
          </w:p>
        </w:tc>
        <w:tc>
          <w:tcPr>
            <w:tcW w:type="dxa" w:w="3312"/>
          </w:tcPr>
          <w:p>
            <w:r>
              <w:rPr>
                <w:sz w:val="17"/>
              </w:rPr>
            </w:r>
            <w:r>
              <w:rPr>
                <w:b w:val="0"/>
                <w:i w:val="0"/>
                <w:sz w:val="17"/>
              </w:rPr>
              <w:t>§7 outage window</w:t>
            </w:r>
          </w:p>
        </w:tc>
        <w:tc>
          <w:tcPr>
            <w:tcW w:type="dxa" w:w="3312"/>
          </w:tcPr>
          <w:p>
            <w:r>
              <w:rPr>
                <w:sz w:val="17"/>
              </w:rPr>
            </w:r>
            <w:r>
              <w:rPr>
                <w:b w:val="0"/>
                <w:i w:val="0"/>
                <w:sz w:val="17"/>
              </w:rPr>
              <w:t>Owned</w:t>
            </w:r>
          </w:p>
        </w:tc>
      </w:tr>
      <w:tr>
        <w:tc>
          <w:tcPr>
            <w:tcW w:type="dxa" w:w="3312"/>
          </w:tcPr>
          <w:p>
            <w:r>
              <w:rPr>
                <w:sz w:val="17"/>
              </w:rPr>
            </w:r>
            <w:r>
              <w:rPr>
                <w:b w:val="0"/>
                <w:i w:val="0"/>
                <w:sz w:val="17"/>
              </w:rPr>
              <w:t>TR-007</w:t>
            </w:r>
          </w:p>
        </w:tc>
        <w:tc>
          <w:tcPr>
            <w:tcW w:type="dxa" w:w="3312"/>
          </w:tcPr>
          <w:p>
            <w:r>
              <w:rPr>
                <w:sz w:val="17"/>
              </w:rPr>
            </w:r>
            <w:r>
              <w:rPr>
                <w:b w:val="0"/>
                <w:i w:val="0"/>
                <w:sz w:val="17"/>
              </w:rPr>
              <w:t>§7 point of no return + rollback</w:t>
            </w:r>
          </w:p>
        </w:tc>
        <w:tc>
          <w:tcPr>
            <w:tcW w:type="dxa" w:w="3312"/>
          </w:tcPr>
          <w:p>
            <w:r>
              <w:rPr>
                <w:sz w:val="17"/>
              </w:rPr>
            </w:r>
            <w:r>
              <w:rPr>
                <w:b w:val="0"/>
                <w:i w:val="0"/>
                <w:sz w:val="17"/>
              </w:rPr>
              <w:t>Owned</w:t>
            </w:r>
          </w:p>
        </w:tc>
      </w:tr>
    </w:tbl>
    <w:p/>
    <w:p>
      <w:r>
        <w:rPr>
          <w:b w:val="0"/>
          <w:i w:val="0"/>
        </w:rPr>
        <w:t xml:space="preserve">TR-008 and TR-009 are owned by the </w:t>
      </w:r>
      <w:r>
        <w:rPr>
          <w:b w:val="0"/>
          <w:i w:val="0"/>
        </w:rPr>
        <w:t>Training Plan</w:t>
      </w:r>
      <w:r>
        <w:rPr>
          <w:b w:val="0"/>
          <w:i w:val="0"/>
        </w:rPr>
        <w:t xml:space="preserve">; TR-010, TR-011 and TR-012 by the </w:t>
      </w:r>
      <w:r>
        <w:rPr>
          <w:b w:val="0"/>
          <w:i w:val="0"/>
        </w:rPr>
        <w:t>Cutover Plan</w:t>
      </w:r>
      <w:r>
        <w:rPr>
          <w:b w:val="0"/>
          <w:i w:val="0"/>
        </w:rPr>
        <w:t>. Together the three plans close the RTM's transition-requirement gaps G-01, G-02 and G-03 without overlap and without a requirement falling between them.</w:t>
      </w:r>
    </w:p>
    <w:sectPr w:rsidR="00FC693F" w:rsidRPr="0006063C" w:rsidSect="0003461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