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12213B"/>
          <w:sz w:val="30"/>
          <w:szCs w:val="30"/>
        </w:rPr>
        <w:t xml:space="preserve">PMBOK Program Management Methodology Guide</w:t>
      </w:r>
    </w:p>
    <w:p>
      <w:pPr>
        <w:spacing w:after="240"/>
      </w:pPr>
      <w:r>
        <w:rPr>
          <w:i/>
          <w:iCs/>
          <w:color w:val="5B6472"/>
          <w:sz w:val="20"/>
          <w:szCs w:val="20"/>
        </w:rPr>
        <w:t xml:space="preserve">Enrollment &amp; Claims Platform Modernization</w:t>
      </w:r>
    </w:p>
    <w:p>
      <w:pPr>
        <w:spacing w:after="140"/>
      </w:pPr>
      <w:r>
        <w:rPr>
          <w:i w:val="false"/>
          <w:iCs w:val="false"/>
          <w:sz w:val="20"/>
          <w:szCs w:val="20"/>
        </w:rPr>
        <w:t xml:space="preserve">This guide explains how predictive, PMBOK-standard program management actually works, using the Enrollment &amp; Claims Platform Modernization program as a running example — the same program this suite is built around.</w:t>
      </w:r>
    </w:p>
    <w:p>
      <w:pPr>
        <w:spacing w:after="140"/>
      </w:pPr>
      <w:r>
        <w:rPr>
          <w:i/>
          <w:iCs/>
          <w:sz w:val="20"/>
          <w:szCs w:val="20"/>
        </w:rPr>
        <w:t xml:space="preserve">Why predictive delivery for this program: a legacy core-platform modernization with a hard data-conversion cutover, vendor selection, and a fixed regulatory go-live isn't a good fit for iterative, evolving scope. That's the case for PMBOK/waterfall here, not a claim that predictive delivery is always the right choice.</w:t>
      </w:r>
    </w:p>
    <w:p>
      <w:pPr>
        <w:pStyle w:val="Heading1"/>
        <w:spacing w:after="120" w:before="280"/>
      </w:pPr>
      <w:r>
        <w:rPr>
          <w:b/>
          <w:bCs/>
          <w:color w:val="12213B"/>
        </w:rPr>
        <w:t xml:space="preserve">1. Methodology at a Glance</w:t>
      </w:r>
    </w:p>
    <w:p>
      <w:pPr>
        <w:spacing w:after="140"/>
      </w:pPr>
      <w:r>
        <w:rPr>
          <w:i w:val="false"/>
          <w:iCs w:val="false"/>
          <w:sz w:val="20"/>
          <w:szCs w:val="20"/>
        </w:rPr>
        <w:t xml:space="preserve">PMBOK-standard delivery is predictive: scope, schedule, and budget are defined and baselined during Planning, before major execution work begins, and the program is measured against that baseline for the rest of its life. This is the opposite instinct from Agile/Scrum, where scope is deliberately left flexible sprint to sprint.</w:t>
      </w:r>
    </w:p>
    <w:p>
      <w:pPr>
        <w:spacing w:after="140"/>
      </w:pPr>
      <w:r>
        <w:rPr>
          <w:i w:val="false"/>
          <w:iCs w:val="false"/>
          <w:sz w:val="20"/>
          <w:szCs w:val="20"/>
        </w:rPr>
        <w:t xml:space="preserve">The core discipline that makes predictive delivery work is change control: once the baseline is set, nothing changes without a documented, impact-assessed, formally approved Change Request.</w:t>
      </w:r>
    </w:p>
    <w:p>
      <w:pPr>
        <w:pStyle w:val="Heading1"/>
        <w:spacing w:after="120" w:before="280"/>
      </w:pPr>
      <w:r>
        <w:rPr>
          <w:b/>
          <w:bCs/>
          <w:color w:val="12213B"/>
        </w:rPr>
        <w:t xml:space="preserve">2. The Five Process Groups</w:t>
      </w:r>
    </w:p>
    <w:p>
      <w:pPr>
        <w:spacing w:after="10" w:before="200"/>
      </w:pPr>
      <w:r>
        <w:rPr>
          <w:b/>
          <w:bCs/>
          <w:color w:val="2B5C8A"/>
          <w:sz w:val="21"/>
          <w:szCs w:val="21"/>
        </w:rPr>
        <w:t xml:space="preserve">Group 1 — Initiation</w:t>
      </w:r>
    </w:p>
    <w:p>
      <w:pPr>
        <w:spacing w:after="140"/>
      </w:pPr>
      <w:r>
        <w:rPr>
          <w:i w:val="false"/>
          <w:iCs w:val="false"/>
          <w:sz w:val="20"/>
          <w:szCs w:val="20"/>
        </w:rPr>
        <w:t xml:space="preserve">A Business Case justifies the investment, followed by a Charter that formally authorizes the PM to spend budget — signed by the sponsor. Sponsor G. Whitfield (VP of Operations) signed the Charter authorizing this platform modernization, with success criteria including zero unplanned extended outages during cutover.</w:t>
      </w:r>
    </w:p>
    <w:p>
      <w:pPr>
        <w:spacing w:after="10" w:before="200"/>
      </w:pPr>
      <w:r>
        <w:rPr>
          <w:b/>
          <w:bCs/>
          <w:color w:val="2B5C8A"/>
          <w:sz w:val="21"/>
          <w:szCs w:val="21"/>
        </w:rPr>
        <w:t xml:space="preserve">Group 2 — Planning</w:t>
      </w:r>
    </w:p>
    <w:p>
      <w:pPr>
        <w:spacing w:after="140"/>
      </w:pPr>
      <w:r>
        <w:rPr>
          <w:i w:val="false"/>
          <w:iCs w:val="false"/>
          <w:sz w:val="20"/>
          <w:szCs w:val="20"/>
        </w:rPr>
        <w:t xml:space="preserve">The Program Management Plan, RACI, and baseline budget are built here. The $7.06M baseline budget and 331-working-day schedule were both set during Planning and haven't moved since.</w:t>
      </w:r>
    </w:p>
    <w:p>
      <w:pPr>
        <w:spacing w:after="10" w:before="200"/>
      </w:pPr>
      <w:r>
        <w:rPr>
          <w:b/>
          <w:bCs/>
          <w:color w:val="2B5C8A"/>
          <w:sz w:val="21"/>
          <w:szCs w:val="21"/>
        </w:rPr>
        <w:t xml:space="preserve">Group 3 — Execution</w:t>
      </w:r>
    </w:p>
    <w:p>
      <w:pPr>
        <w:spacing w:after="140"/>
      </w:pPr>
      <w:r>
        <w:rPr>
          <w:i w:val="false"/>
          <w:iCs w:val="false"/>
          <w:sz w:val="20"/>
          <w:szCs w:val="20"/>
        </w:rPr>
        <w:t xml:space="preserve">The actual delivery work happens here. The program has completed Initiation, Requirements &amp; Vendor Selection, and System Upgrade Validation, and is now in Data Conversion / Integration Build — roughly 37% through the baseline schedule.</w:t>
      </w:r>
    </w:p>
    <w:p>
      <w:pPr>
        <w:spacing w:after="10" w:before="200"/>
      </w:pPr>
      <w:r>
        <w:rPr>
          <w:b/>
          <w:bCs/>
          <w:color w:val="2B5C8A"/>
          <w:sz w:val="21"/>
          <w:szCs w:val="21"/>
        </w:rPr>
        <w:t xml:space="preserve">Group 4 — Monitoring &amp; Controlling</w:t>
      </w:r>
    </w:p>
    <w:p>
      <w:pPr>
        <w:spacing w:after="140"/>
      </w:pPr>
      <w:r>
        <w:rPr>
          <w:i w:val="false"/>
          <w:iCs w:val="false"/>
          <w:sz w:val="20"/>
          <w:szCs w:val="20"/>
        </w:rPr>
        <w:t xml:space="preserve">Runs in parallel with Execution, not after it. A high-severity data-quality risk (R-001) in historical claims data is driving the program's current Yellow health status — Monitoring &amp; Controlling surfaced it early enough to build a get-to-Green mitigation plan.</w:t>
      </w:r>
    </w:p>
    <w:p>
      <w:pPr>
        <w:spacing w:after="10" w:before="200"/>
      </w:pPr>
      <w:r>
        <w:rPr>
          <w:b/>
          <w:bCs/>
          <w:color w:val="2B5C8A"/>
          <w:sz w:val="21"/>
          <w:szCs w:val="21"/>
        </w:rPr>
        <w:t xml:space="preserve">Group 5 — Closeout</w:t>
      </w:r>
    </w:p>
    <w:p>
      <w:pPr>
        <w:spacing w:after="140"/>
      </w:pPr>
      <w:r>
        <w:rPr>
          <w:i w:val="false"/>
          <w:iCs w:val="false"/>
          <w:sz w:val="20"/>
          <w:szCs w:val="20"/>
        </w:rPr>
        <w:t xml:space="preserve">Formal acceptance of final deliverables, lessons learned captured, and release of program resources — documented in a Closeout Report.</w:t>
      </w:r>
    </w:p>
    <w:p>
      <w:pPr>
        <w:pStyle w:val="Heading1"/>
        <w:spacing w:after="120" w:before="280"/>
      </w:pPr>
      <w:r>
        <w:rPr>
          <w:b/>
          <w:bCs/>
          <w:color w:val="12213B"/>
        </w:rPr>
        <w:t xml:space="preserve">3. Key Disciplines vs. Agile Delivery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shd w:fill="12213B" w:val="clear"/>
          </w:tcPr>
          <w:p>
            <w:r>
              <w:rPr>
                <w:b/>
                <w:bCs/>
                <w:color w:val="FFFFFF"/>
                <w:sz w:val="18"/>
                <w:szCs w:val="18"/>
              </w:rPr>
              <w:t xml:space="preserve">Discipline</w:t>
            </w:r>
          </w:p>
        </w:tc>
        <w:tc>
          <w:tcPr>
            <w:shd w:fill="12213B" w:val="clear"/>
          </w:tcPr>
          <w:p>
            <w:r>
              <w:rPr>
                <w:b/>
                <w:bCs/>
                <w:color w:val="FFFFFF"/>
                <w:sz w:val="18"/>
                <w:szCs w:val="18"/>
              </w:rPr>
              <w:t xml:space="preserve">PMBOK / Predictive</w:t>
            </w:r>
          </w:p>
        </w:tc>
        <w:tc>
          <w:tcPr>
            <w:shd w:fill="12213B" w:val="clear"/>
          </w:tcPr>
          <w:p>
            <w:r>
              <w:rPr>
                <w:b/>
                <w:bCs/>
                <w:color w:val="FFFFFF"/>
                <w:sz w:val="18"/>
                <w:szCs w:val="18"/>
              </w:rPr>
              <w:t xml:space="preserve">Agile / Scrum</w:t>
            </w:r>
          </w:p>
        </w:tc>
      </w:tr>
      <w:tr>
        <w:tc>
          <w:tcPr>
            <w:shd w:fill="FFFFFF" w:val="clear"/>
          </w:tcPr>
          <w:p>
            <w:r>
              <w:rPr>
                <w:sz w:val="17"/>
                <w:szCs w:val="17"/>
              </w:rPr>
              <w:t xml:space="preserve">Scope</w:t>
            </w:r>
          </w:p>
        </w:tc>
        <w:tc>
          <w:tcPr>
            <w:shd w:fill="FFFFFF" w:val="clear"/>
          </w:tcPr>
          <w:p>
            <w:r>
              <w:rPr>
                <w:sz w:val="17"/>
                <w:szCs w:val="17"/>
              </w:rPr>
              <w:t xml:space="preserve">Fixed at Planning baseline; formal Change Control</w:t>
            </w:r>
          </w:p>
        </w:tc>
        <w:tc>
          <w:tcPr>
            <w:shd w:fill="FFFFFF" w:val="clear"/>
          </w:tcPr>
          <w:p>
            <w:r>
              <w:rPr>
                <w:sz w:val="17"/>
                <w:szCs w:val="17"/>
              </w:rPr>
              <w:t xml:space="preserve">Deliberately flexible; re-prioritized every sprint</w:t>
            </w:r>
          </w:p>
        </w:tc>
      </w:tr>
      <w:tr>
        <w:tc>
          <w:tcPr>
            <w:shd w:fill="FAFBFC" w:val="clear"/>
          </w:tcPr>
          <w:p>
            <w:r>
              <w:rPr>
                <w:sz w:val="17"/>
                <w:szCs w:val="17"/>
              </w:rPr>
              <w:t xml:space="preserve">Schedule</w:t>
            </w:r>
          </w:p>
        </w:tc>
        <w:tc>
          <w:tcPr>
            <w:shd w:fill="FAFBFC" w:val="clear"/>
          </w:tcPr>
          <w:p>
            <w:r>
              <w:rPr>
                <w:sz w:val="17"/>
                <w:szCs w:val="17"/>
              </w:rPr>
              <w:t xml:space="preserve">Single baseline schedule (331 working days)</w:t>
            </w:r>
          </w:p>
        </w:tc>
        <w:tc>
          <w:tcPr>
            <w:shd w:fill="FAFBFC" w:val="clear"/>
          </w:tcPr>
          <w:p>
            <w:r>
              <w:rPr>
                <w:sz w:val="17"/>
                <w:szCs w:val="17"/>
              </w:rPr>
              <w:t xml:space="preserve">Fixed-length sprints; scope flexes, not the timebox</w:t>
            </w:r>
          </w:p>
        </w:tc>
      </w:tr>
      <w:tr>
        <w:tc>
          <w:tcPr>
            <w:shd w:fill="FFFFFF" w:val="clear"/>
          </w:tcPr>
          <w:p>
            <w:r>
              <w:rPr>
                <w:sz w:val="17"/>
                <w:szCs w:val="17"/>
              </w:rPr>
              <w:t xml:space="preserve">Risk tracking</w:t>
            </w:r>
          </w:p>
        </w:tc>
        <w:tc>
          <w:tcPr>
            <w:shd w:fill="FFFFFF" w:val="clear"/>
          </w:tcPr>
          <w:p>
            <w:r>
              <w:rPr>
                <w:sz w:val="17"/>
                <w:szCs w:val="17"/>
              </w:rPr>
              <w:t xml:space="preserve">RAIDD Log — five categories in one register</w:t>
            </w:r>
          </w:p>
        </w:tc>
        <w:tc>
          <w:tcPr>
            <w:shd w:fill="FFFFFF" w:val="clear"/>
          </w:tcPr>
          <w:p>
            <w:r>
              <w:rPr>
                <w:sz w:val="17"/>
                <w:szCs w:val="17"/>
              </w:rPr>
              <w:t xml:space="preserve">Surfaced and retired sprint by sprint</w:t>
            </w:r>
          </w:p>
        </w:tc>
      </w:tr>
      <w:tr>
        <w:tc>
          <w:tcPr>
            <w:shd w:fill="FAFBFC" w:val="clear"/>
          </w:tcPr>
          <w:p>
            <w:r>
              <w:rPr>
                <w:sz w:val="17"/>
                <w:szCs w:val="17"/>
              </w:rPr>
              <w:t xml:space="preserve">Change authority</w:t>
            </w:r>
          </w:p>
        </w:tc>
        <w:tc>
          <w:tcPr>
            <w:shd w:fill="FAFBFC" w:val="clear"/>
          </w:tcPr>
          <w:p>
            <w:r>
              <w:rPr>
                <w:sz w:val="17"/>
                <w:szCs w:val="17"/>
              </w:rPr>
              <w:t xml:space="preserve">Sponsor/Steering Committee approves CRs</w:t>
            </w:r>
          </w:p>
        </w:tc>
        <w:tc>
          <w:tcPr>
            <w:shd w:fill="FAFBFC" w:val="clear"/>
          </w:tcPr>
          <w:p>
            <w:r>
              <w:rPr>
                <w:sz w:val="17"/>
                <w:szCs w:val="17"/>
              </w:rPr>
              <w:t xml:space="preserve">Product Owner re-orders the backlog</w:t>
            </w:r>
          </w:p>
        </w:tc>
      </w:tr>
    </w:tbl>
    <w:p>
      <w:pPr>
        <w:pStyle w:val="Heading1"/>
        <w:spacing w:after="120" w:before="280"/>
      </w:pPr>
      <w:r>
        <w:rPr>
          <w:b/>
          <w:bCs/>
          <w:color w:val="12213B"/>
        </w:rPr>
        <w:t xml:space="preserve">4. Change Control in Action</w:t>
      </w:r>
    </w:p>
    <w:p>
      <w:pPr>
        <w:spacing w:after="140"/>
      </w:pPr>
      <w:r>
        <w:rPr>
          <w:i w:val="false"/>
          <w:iCs w:val="false"/>
          <w:sz w:val="20"/>
          <w:szCs w:val="20"/>
        </w:rPr>
        <w:t xml:space="preserve">Two real approved changes from the Change Control Log:</w:t>
      </w:r>
    </w:p>
    <w:p>
      <w:pPr>
        <w:pStyle w:val="ListParagraph"/>
        <w:numPr>
          <w:ilvl w:val="0"/>
          <w:numId w:val="1"/>
        </w:numPr>
        <w:spacing w:after="80"/>
      </w:pPr>
      <w:r>
        <w:rPr>
          <w:sz w:val="20"/>
          <w:szCs w:val="20"/>
        </w:rPr>
        <w:t xml:space="preserve">CR-001 — Add Project Kickoff Meeting. A formal kickoff was missing between Charter sign-off and Requirements Gathering; adds 1 day. Even this small a change went through the log, with the PM alone as approval authority (informational only).</w:t>
      </w:r>
    </w:p>
    <w:p>
      <w:pPr>
        <w:pStyle w:val="ListParagraph"/>
        <w:numPr>
          <w:ilvl w:val="0"/>
          <w:numId w:val="1"/>
        </w:numPr>
        <w:spacing w:after="80"/>
      </w:pPr>
      <w:r>
        <w:rPr>
          <w:sz w:val="20"/>
          <w:szCs w:val="20"/>
        </w:rPr>
        <w:t xml:space="preserve">CR-002 — Formalize Requirements &amp; Design Sign-off cycles. Added a structured walkthrough + 3-day feedback + recirculation + 3-day sign-off pattern to both gates, adding 6 days total — a higher approval bar since it changed the baseline schedule by nearly a week.</w:t>
      </w:r>
    </w:p>
    <w:p>
      <w:pPr>
        <w:spacing w:after="140"/>
      </w:pPr>
      <w:r>
        <w:rPr>
          <w:i w:val="false"/>
          <w:iCs w:val="false"/>
          <w:sz w:val="20"/>
          <w:szCs w:val="20"/>
        </w:rPr>
        <w:t xml:space="preserve">Both share the same shape: a plain-language description of what changed, why, the impact, and who had authority to approve it.</w:t>
      </w:r>
    </w:p>
    <w:p>
      <w:pPr>
        <w:pStyle w:val="Heading1"/>
        <w:spacing w:after="120" w:before="280"/>
      </w:pPr>
      <w:r>
        <w:rPr>
          <w:b/>
          <w:bCs/>
          <w:color w:val="12213B"/>
        </w:rPr>
        <w:t xml:space="preserve">5. Understanding RAIDD</w:t>
      </w:r>
    </w:p>
    <w:p>
      <w:pPr>
        <w:spacing w:after="140"/>
      </w:pPr>
      <w:r>
        <w:rPr>
          <w:i w:val="false"/>
          <w:iCs w:val="false"/>
          <w:sz w:val="20"/>
          <w:szCs w:val="20"/>
        </w:rPr>
        <w:t xml:space="preserve">RAIDD tracks five related categories in one register because they constantly convert into each other: an Assumption that turns out false becomes an Issue; a late Dependency becomes a Risk; a Decision often resolves a Risk.</w:t>
      </w:r>
    </w:p>
    <w:p>
      <w:pPr>
        <w:pStyle w:val="ListParagraph"/>
        <w:numPr>
          <w:ilvl w:val="0"/>
          <w:numId w:val="1"/>
        </w:numPr>
        <w:spacing w:after="80"/>
      </w:pPr>
      <w:r>
        <w:rPr>
          <w:sz w:val="20"/>
          <w:szCs w:val="20"/>
        </w:rPr>
        <w:t xml:space="preserve">Risks — things that might happen and would hurt the program if they do (e.g. R-001)</w:t>
      </w:r>
    </w:p>
    <w:p>
      <w:pPr>
        <w:pStyle w:val="ListParagraph"/>
        <w:numPr>
          <w:ilvl w:val="0"/>
          <w:numId w:val="1"/>
        </w:numPr>
        <w:spacing w:after="80"/>
      </w:pPr>
      <w:r>
        <w:rPr>
          <w:sz w:val="20"/>
          <w:szCs w:val="20"/>
        </w:rPr>
        <w:t xml:space="preserve">Assumptions — things being planned around as if true, not yet confirmed</w:t>
      </w:r>
    </w:p>
    <w:p>
      <w:pPr>
        <w:pStyle w:val="ListParagraph"/>
        <w:numPr>
          <w:ilvl w:val="0"/>
          <w:numId w:val="1"/>
        </w:numPr>
        <w:spacing w:after="80"/>
      </w:pPr>
      <w:r>
        <w:rPr>
          <w:sz w:val="20"/>
          <w:szCs w:val="20"/>
        </w:rPr>
        <w:t xml:space="preserve">Issues — risks that already happened, now being actively managed</w:t>
      </w:r>
    </w:p>
    <w:p>
      <w:pPr>
        <w:pStyle w:val="ListParagraph"/>
        <w:numPr>
          <w:ilvl w:val="0"/>
          <w:numId w:val="1"/>
        </w:numPr>
        <w:spacing w:after="80"/>
      </w:pPr>
      <w:r>
        <w:rPr>
          <w:sz w:val="20"/>
          <w:szCs w:val="20"/>
        </w:rPr>
        <w:t xml:space="preserve">Decisions — logged choices so nobody re-litigates them later</w:t>
      </w:r>
    </w:p>
    <w:p>
      <w:pPr>
        <w:pStyle w:val="ListParagraph"/>
        <w:numPr>
          <w:ilvl w:val="0"/>
          <w:numId w:val="1"/>
        </w:numPr>
        <w:spacing w:after="80"/>
      </w:pPr>
      <w:r>
        <w:rPr>
          <w:sz w:val="20"/>
          <w:szCs w:val="20"/>
        </w:rPr>
        <w:t xml:space="preserve">Dependencies — things this program needs from outside itself to stay on track</w:t>
      </w:r>
    </w:p>
    <w:p>
      <w:pPr>
        <w:pStyle w:val="Heading1"/>
        <w:spacing w:after="120" w:before="280"/>
      </w:pPr>
      <w:r>
        <w:rPr>
          <w:b/>
          <w:bCs/>
          <w:color w:val="12213B"/>
        </w:rPr>
        <w:t xml:space="preserve">6. Enrollment &amp; Claims by the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shd w:fill="12213B" w:val="clear"/>
          </w:tcPr>
          <w:p>
            <w:r>
              <w:rPr>
                <w:b/>
                <w:bCs/>
                <w:color w:val="FFFFFF"/>
                <w:sz w:val="18"/>
                <w:szCs w:val="18"/>
              </w:rPr>
              <w:t xml:space="preserve">Figure</w:t>
            </w:r>
          </w:p>
        </w:tc>
        <w:tc>
          <w:tcPr>
            <w:shd w:fill="12213B" w:val="clear"/>
          </w:tcPr>
          <w:p>
            <w:r>
              <w:rPr>
                <w:b/>
                <w:bCs/>
                <w:color w:val="FFFFFF"/>
                <w:sz w:val="18"/>
                <w:szCs w:val="18"/>
              </w:rPr>
              <w:t xml:space="preserve">Value</w:t>
            </w:r>
          </w:p>
        </w:tc>
      </w:tr>
      <w:tr>
        <w:tc>
          <w:tcPr>
            <w:shd w:fill="FFFFFF" w:val="clear"/>
          </w:tcPr>
          <w:p>
            <w:r>
              <w:rPr>
                <w:sz w:val="17"/>
                <w:szCs w:val="17"/>
              </w:rPr>
              <w:t xml:space="preserve">Total Program Budget (baseline)</w:t>
            </w:r>
          </w:p>
        </w:tc>
        <w:tc>
          <w:tcPr>
            <w:shd w:fill="FFFFFF" w:val="clear"/>
          </w:tcPr>
          <w:p>
            <w:r>
              <w:rPr>
                <w:sz w:val="17"/>
                <w:szCs w:val="17"/>
              </w:rPr>
              <w:t xml:space="preserve">$7.06M</w:t>
            </w:r>
          </w:p>
        </w:tc>
      </w:tr>
      <w:tr>
        <w:tc>
          <w:tcPr>
            <w:shd w:fill="FAFBFC" w:val="clear"/>
          </w:tcPr>
          <w:p>
            <w:r>
              <w:rPr>
                <w:sz w:val="17"/>
                <w:szCs w:val="17"/>
              </w:rPr>
              <w:t xml:space="preserve">Spent to Date</w:t>
            </w:r>
          </w:p>
        </w:tc>
        <w:tc>
          <w:tcPr>
            <w:shd w:fill="FAFBFC" w:val="clear"/>
          </w:tcPr>
          <w:p>
            <w:r>
              <w:rPr>
                <w:sz w:val="17"/>
                <w:szCs w:val="17"/>
              </w:rPr>
              <w:t xml:space="preserve">$3.05M (43%)</w:t>
            </w:r>
          </w:p>
        </w:tc>
      </w:tr>
      <w:tr>
        <w:tc>
          <w:tcPr>
            <w:shd w:fill="FFFFFF" w:val="clear"/>
          </w:tcPr>
          <w:p>
            <w:r>
              <w:rPr>
                <w:sz w:val="17"/>
                <w:szCs w:val="17"/>
              </w:rPr>
              <w:t xml:space="preserve">Baseline Schedule</w:t>
            </w:r>
          </w:p>
        </w:tc>
        <w:tc>
          <w:tcPr>
            <w:shd w:fill="FFFFFF" w:val="clear"/>
          </w:tcPr>
          <w:p>
            <w:r>
              <w:rPr>
                <w:sz w:val="17"/>
                <w:szCs w:val="17"/>
              </w:rPr>
              <w:t xml:space="preserve">331 working days, Kickoff 04 Aug 2026</w:t>
            </w:r>
          </w:p>
        </w:tc>
      </w:tr>
      <w:tr>
        <w:tc>
          <w:tcPr>
            <w:shd w:fill="FAFBFC" w:val="clear"/>
          </w:tcPr>
          <w:p>
            <w:r>
              <w:rPr>
                <w:sz w:val="17"/>
                <w:szCs w:val="17"/>
              </w:rPr>
              <w:t xml:space="preserve">Schedule Progress</w:t>
            </w:r>
          </w:p>
        </w:tc>
        <w:tc>
          <w:tcPr>
            <w:shd w:fill="FAFBFC" w:val="clear"/>
          </w:tcPr>
          <w:p>
            <w:r>
              <w:rPr>
                <w:sz w:val="17"/>
                <w:szCs w:val="17"/>
              </w:rPr>
              <w:t xml:space="preserve">37% (123 of 331 days elapsed)</w:t>
            </w:r>
          </w:p>
        </w:tc>
      </w:tr>
      <w:tr>
        <w:tc>
          <w:tcPr>
            <w:shd w:fill="FFFFFF" w:val="clear"/>
          </w:tcPr>
          <w:p>
            <w:r>
              <w:rPr>
                <w:sz w:val="17"/>
                <w:szCs w:val="17"/>
              </w:rPr>
              <w:t xml:space="preserve">Overall Health</w:t>
            </w:r>
          </w:p>
        </w:tc>
        <w:tc>
          <w:tcPr>
            <w:shd w:fill="FFFFFF" w:val="clear"/>
          </w:tcPr>
          <w:p>
            <w:r>
              <w:rPr>
                <w:sz w:val="17"/>
                <w:szCs w:val="17"/>
              </w:rPr>
              <w:t xml:space="preserve">Yellow — driven by R-001</w:t>
            </w:r>
          </w:p>
        </w:tc>
      </w:tr>
      <w:tr>
        <w:tc>
          <w:tcPr>
            <w:shd w:fill="FAFBFC" w:val="clear"/>
          </w:tcPr>
          <w:p>
            <w:r>
              <w:rPr>
                <w:sz w:val="17"/>
                <w:szCs w:val="17"/>
              </w:rPr>
              <w:t xml:space="preserve">Next Milestone</w:t>
            </w:r>
          </w:p>
        </w:tc>
        <w:tc>
          <w:tcPr>
            <w:shd w:fill="FAFBFC" w:val="clear"/>
          </w:tcPr>
          <w:p>
            <w:r>
              <w:rPr>
                <w:sz w:val="17"/>
                <w:szCs w:val="17"/>
              </w:rPr>
              <w:t xml:space="preserve">Data Conversion Sign-off, 16 Mar 2027</w:t>
            </w:r>
          </w:p>
        </w:tc>
      </w:tr>
      <w:tr>
        <w:tc>
          <w:tcPr>
            <w:shd w:fill="FFFFFF" w:val="clear"/>
          </w:tcPr>
          <w:p>
            <w:r>
              <w:rPr>
                <w:sz w:val="17"/>
                <w:szCs w:val="17"/>
              </w:rPr>
              <w:t xml:space="preserve">Sponsor</w:t>
            </w:r>
          </w:p>
        </w:tc>
        <w:tc>
          <w:tcPr>
            <w:shd w:fill="FFFFFF" w:val="clear"/>
          </w:tcPr>
          <w:p>
            <w:r>
              <w:rPr>
                <w:sz w:val="17"/>
                <w:szCs w:val="17"/>
              </w:rPr>
              <w:t xml:space="preserve">G. Whitfield, VP of Operations</w:t>
            </w:r>
          </w:p>
        </w:tc>
      </w:tr>
    </w:tbl>
    <w:p>
      <w:pPr>
        <w:pStyle w:val="Heading1"/>
        <w:spacing w:after="120" w:before="280"/>
      </w:pPr>
      <w:r>
        <w:rPr>
          <w:b/>
          <w:bCs/>
          <w:color w:val="12213B"/>
        </w:rPr>
        <w:t xml:space="preserve">7. Roles at a Glance</w:t>
      </w:r>
    </w:p>
    <w:p>
      <w:pPr>
        <w:spacing w:after="140"/>
      </w:pPr>
      <w:r>
        <w:rPr>
          <w:i w:val="false"/>
          <w:iCs w:val="false"/>
          <w:sz w:val="20"/>
          <w:szCs w:val="20"/>
        </w:rPr>
        <w:t xml:space="preserve">C. Tyrrell (Program Manager) is Accountable across nearly every major sign-off without being personally Responsible for the work itself — F. Jones owns Requirements Sign-off, W. Donnelly owns Vendor Selection &amp; SOW, M. Alvarez owns System Upgrade Validation, T. McCormick owns Data Conversion Sign-off. That split — Accountable vs. Responsible — is exactly what RACI is designed to make explicit.</w:t>
      </w:r>
    </w:p>
    <w:p>
      <w:pPr>
        <w:pStyle w:val="Heading1"/>
        <w:spacing w:after="120" w:before="280"/>
      </w:pPr>
      <w:r>
        <w:rPr>
          <w:b/>
          <w:bCs/>
          <w:color w:val="12213B"/>
        </w:rPr>
        <w:t xml:space="preserve">8. Questions &amp; Answers</w:t>
      </w:r>
    </w:p>
    <w:p>
      <w:pPr>
        <w:spacing w:after="140"/>
      </w:pPr>
      <w:r>
        <w:rPr>
          <w:i w:val="false"/>
          <w:iCs w:val="false"/>
          <w:sz w:val="20"/>
          <w:szCs w:val="20"/>
        </w:rPr>
        <w:t xml:space="preserve">What are the five PMBOK process groups? Initiation, Planning, Execution, Monitoring &amp; Controlling, and Closeout — the last two run in parallel, not sequentially, which is a common misconception.</w:t>
      </w:r>
    </w:p>
    <w:p>
      <w:pPr>
        <w:spacing w:after="140"/>
      </w:pPr>
      <w:r>
        <w:rPr>
          <w:i w:val="false"/>
          <w:iCs w:val="false"/>
          <w:sz w:val="20"/>
          <w:szCs w:val="20"/>
        </w:rPr>
        <w:t xml:space="preserve">Why can't the team just update the plan when something changes? Because the baseline is the fixed reference point that makes 'on track' or 'behind schedule' measurable at all. Change Control exists to protect that.</w:t>
      </w:r>
    </w:p>
    <w:p>
      <w:pPr>
        <w:spacing w:after="140"/>
      </w:pPr>
      <w:r>
        <w:rPr>
          <w:i w:val="false"/>
          <w:iCs w:val="false"/>
          <w:sz w:val="20"/>
          <w:szCs w:val="20"/>
        </w:rPr>
        <w:t xml:space="preserve">Is a RAIDD Log the same as a risk register? A risk register is one of RAIDD's five categories — RAIDD adds Assumptions, Issues, Decisions, and Dependencies because they constantly convert into and explain each other.</w:t>
      </w:r>
    </w:p>
    <w:p>
      <w:pPr>
        <w:spacing w:after="140"/>
      </w:pPr>
      <w:r>
        <w:rPr>
          <w:i w:val="false"/>
          <w:iCs w:val="false"/>
          <w:sz w:val="20"/>
          <w:szCs w:val="20"/>
        </w:rPr>
        <w:t xml:space="preserve">Can a program be Yellow and still be on track? Yes — Yellow reflects risk exposure, not missed commitments. Enrollment &amp; Claims is Yellow due to R-001, while Schedule and Budget are both independently rated on track at the same status date.</w:t>
      </w:r>
    </w:p>
    <w:p>
      <w:pPr>
        <w:pStyle w:val="Heading1"/>
        <w:spacing w:after="120" w:before="280"/>
      </w:pPr>
      <w:r>
        <w:rPr>
          <w:b/>
          <w:bCs/>
          <w:color w:val="12213B"/>
        </w:rPr>
        <w:t xml:space="preserve">9. Related Reading</w:t>
      </w:r>
    </w:p>
    <w:p>
      <w:pPr>
        <w:spacing w:after="140"/>
      </w:pPr>
      <w:r>
        <w:rPr>
          <w:i w:val="false"/>
          <w:iCs w:val="false"/>
          <w:sz w:val="20"/>
          <w:szCs w:val="20"/>
        </w:rPr>
        <w:t xml:space="preserve">PMBOK Glossary (glossary.html) — plain-English definitions of every PMBOK term used across this suite.</w:t>
      </w:r>
    </w:p>
    <w:p>
      <w:pPr>
        <w:spacing w:after="140"/>
      </w:pPr>
      <w:r>
        <w:rPr>
          <w:i w:val="false"/>
          <w:iCs w:val="false"/>
          <w:sz w:val="20"/>
          <w:szCs w:val="20"/>
        </w:rPr>
        <w:t xml:space="preserve">Lessons Learned Register (lessons-learned.html) — real program lessons captured during delivery.</w:t>
      </w:r>
    </w:p>
    <w:p>
      <w:pPr>
        <w:spacing w:after="140"/>
      </w:pPr>
      <w:r>
        <w:rPr>
          <w:i w:val="false"/>
          <w:iCs w:val="false"/>
          <w:sz w:val="20"/>
          <w:szCs w:val="20"/>
        </w:rPr>
        <w:t xml:space="preserve">Compare methodologies — see how this differs from Agile/Scrum delivery and federal civilian contracting in the other two suites.</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2026-07-14T21:05:54.899Z</dcterms:created>
  <dcterms:modified xsi:type="dcterms:W3CDTF">2026-07-14T21:05:54.916Z</dcterms:modified>
</cp:coreProperties>
</file>

<file path=docProps/custom.xml><?xml version="1.0" encoding="utf-8"?>
<Properties xmlns="http://schemas.openxmlformats.org/officeDocument/2006/custom-properties" xmlns:vt="http://schemas.openxmlformats.org/officeDocument/2006/docPropsVTypes"/>
</file>