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 Kickoff Meeting Notes</w:t>
      </w:r>
    </w:p>
    <w:p>
      <w:r>
        <w:rPr>
          <w:b/>
        </w:rPr>
        <w:t>Enrollment &amp; Claims Platform Modernization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Time</w:t>
            </w:r>
          </w:p>
        </w:tc>
        <w:tc>
          <w:tcPr>
            <w:tcW w:type="dxa" w:w="1728"/>
          </w:tcPr>
          <w:p>
            <w:r>
              <w:t>Location</w:t>
            </w:r>
          </w:p>
        </w:tc>
        <w:tc>
          <w:tcPr>
            <w:tcW w:type="dxa" w:w="1728"/>
          </w:tcPr>
          <w:p>
            <w:r>
              <w:t>Facilitator</w:t>
            </w:r>
          </w:p>
        </w:tc>
        <w:tc>
          <w:tcPr>
            <w:tcW w:type="dxa" w:w="1728"/>
          </w:tcPr>
          <w:p>
            <w:r>
              <w:t>Milestone</w:t>
            </w:r>
          </w:p>
        </w:tc>
      </w:tr>
      <w:tr>
        <w:tc>
          <w:tcPr>
            <w:tcW w:type="dxa" w:w="1728"/>
          </w:tcPr>
          <w:p>
            <w:r>
              <w:t>August 4, 2026</w:t>
            </w:r>
          </w:p>
        </w:tc>
        <w:tc>
          <w:tcPr>
            <w:tcW w:type="dxa" w:w="1728"/>
          </w:tcPr>
          <w:p>
            <w:r>
              <w:t>10:00-11:30 AM ET</w:t>
            </w:r>
          </w:p>
        </w:tc>
        <w:tc>
          <w:tcPr>
            <w:tcW w:type="dxa" w:w="1728"/>
          </w:tcPr>
          <w:p>
            <w:r>
              <w:t>Program Office + Video Bridge</w:t>
            </w:r>
          </w:p>
        </w:tc>
        <w:tc>
          <w:tcPr>
            <w:tcW w:type="dxa" w:w="1728"/>
          </w:tcPr>
          <w:p>
            <w:r>
              <w:t>C. Tyrrell</w:t>
            </w:r>
          </w:p>
        </w:tc>
        <w:tc>
          <w:tcPr>
            <w:tcW w:type="dxa" w:w="1728"/>
          </w:tcPr>
          <w:p>
            <w:r>
              <w:t>Program Day 1</w:t>
            </w:r>
          </w:p>
        </w:tc>
      </w:tr>
    </w:tbl>
    <w:p>
      <w:pPr>
        <w:pStyle w:val="Heading2"/>
      </w:pPr>
      <w:r>
        <w:t>Attendees</w:t>
      </w:r>
    </w:p>
    <w:p>
      <w:pPr>
        <w:pStyle w:val="ListBullet"/>
      </w:pPr>
      <w:r>
        <w:t>C. Tyrrell — Program Manager</w:t>
      </w:r>
    </w:p>
    <w:p>
      <w:pPr>
        <w:pStyle w:val="ListBullet"/>
      </w:pPr>
      <w:r>
        <w:t>G. Whitfield — Executive Sponsor (VP of Operations)</w:t>
      </w:r>
    </w:p>
    <w:p>
      <w:pPr>
        <w:pStyle w:val="ListBullet"/>
      </w:pPr>
      <w:r>
        <w:t>A. Marchetti — CIO / VP of Information Technology</w:t>
      </w:r>
    </w:p>
    <w:p>
      <w:pPr>
        <w:pStyle w:val="ListBullet"/>
      </w:pPr>
      <w:r>
        <w:t>F. Jones — Lead Business Analyst</w:t>
      </w:r>
    </w:p>
    <w:p>
      <w:pPr>
        <w:pStyle w:val="ListBullet"/>
      </w:pPr>
      <w:r>
        <w:t>J. Albert — Solution Architect</w:t>
      </w:r>
    </w:p>
    <w:p>
      <w:pPr>
        <w:pStyle w:val="ListBullet"/>
      </w:pPr>
      <w:r>
        <w:t>M. Alvarez — System Upgrade Lead / Platform Engineer</w:t>
      </w:r>
    </w:p>
    <w:p>
      <w:pPr>
        <w:pStyle w:val="ListBullet"/>
      </w:pPr>
      <w:r>
        <w:t>T. McCormick — Data Conversion Lead</w:t>
      </w:r>
    </w:p>
    <w:p>
      <w:pPr>
        <w:pStyle w:val="ListBullet"/>
      </w:pPr>
      <w:r>
        <w:t>R. Whitfield — QA / Test Lead (Onshore)</w:t>
      </w:r>
    </w:p>
    <w:p>
      <w:pPr>
        <w:pStyle w:val="ListBullet"/>
      </w:pPr>
      <w:r>
        <w:t>N. Sharma — Compliance / Legal Representative</w:t>
      </w:r>
    </w:p>
    <w:p>
      <w:pPr>
        <w:pStyle w:val="Heading2"/>
      </w:pPr>
      <w:r>
        <w:t>Purpose</w:t>
      </w:r>
    </w:p>
    <w:p>
      <w:r>
        <w:t>Align the delivery team and Steering Committee on program scope, governance structure, change control approach, and working cadence before detailed design begins.</w:t>
      </w:r>
    </w:p>
    <w:p>
      <w:pPr>
        <w:pStyle w:val="Heading2"/>
      </w:pPr>
      <w: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Time</w:t>
            </w:r>
          </w:p>
        </w:tc>
        <w:tc>
          <w:tcPr>
            <w:tcW w:type="dxa" w:w="2880"/>
          </w:tcPr>
          <w:p>
            <w:r>
              <w:t>Topic</w:t>
            </w:r>
          </w:p>
        </w:tc>
        <w:tc>
          <w:tcPr>
            <w:tcW w:type="dxa" w:w="2880"/>
          </w:tcPr>
          <w:p>
            <w:r>
              <w:t>Led By</w:t>
            </w:r>
          </w:p>
        </w:tc>
      </w:tr>
      <w:tr>
        <w:tc>
          <w:tcPr>
            <w:tcW w:type="dxa" w:w="2880"/>
          </w:tcPr>
          <w:p>
            <w:r>
              <w:t>10:00-10:10</w:t>
            </w:r>
          </w:p>
        </w:tc>
        <w:tc>
          <w:tcPr>
            <w:tcW w:type="dxa" w:w="2880"/>
          </w:tcPr>
          <w:p>
            <w:r>
              <w:t>Welcome &amp; program context</w:t>
            </w:r>
          </w:p>
        </w:tc>
        <w:tc>
          <w:tcPr>
            <w:tcW w:type="dxa" w:w="2880"/>
          </w:tcPr>
          <w:p>
            <w:r>
              <w:t>G. Whitfield</w:t>
            </w:r>
          </w:p>
        </w:tc>
      </w:tr>
      <w:tr>
        <w:tc>
          <w:tcPr>
            <w:tcW w:type="dxa" w:w="2880"/>
          </w:tcPr>
          <w:p>
            <w:r>
              <w:t>10:10-10:25</w:t>
            </w:r>
          </w:p>
        </w:tc>
        <w:tc>
          <w:tcPr>
            <w:tcW w:type="dxa" w:w="2880"/>
          </w:tcPr>
          <w:p>
            <w:r>
              <w:t>Program Charter walkthrough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  <w:tr>
        <w:tc>
          <w:tcPr>
            <w:tcW w:type="dxa" w:w="2880"/>
          </w:tcPr>
          <w:p>
            <w:r>
              <w:t>10:25-10:40</w:t>
            </w:r>
          </w:p>
        </w:tc>
        <w:tc>
          <w:tcPr>
            <w:tcW w:type="dxa" w:w="2880"/>
          </w:tcPr>
          <w:p>
            <w:r>
              <w:t>Legacy platform assessment &amp; data conversion approach</w:t>
            </w:r>
          </w:p>
        </w:tc>
        <w:tc>
          <w:tcPr>
            <w:tcW w:type="dxa" w:w="2880"/>
          </w:tcPr>
          <w:p>
            <w:r>
              <w:t>T. McCormick</w:t>
            </w:r>
          </w:p>
        </w:tc>
      </w:tr>
      <w:tr>
        <w:tc>
          <w:tcPr>
            <w:tcW w:type="dxa" w:w="2880"/>
          </w:tcPr>
          <w:p>
            <w:r>
              <w:t>10:40-10:55</w:t>
            </w:r>
          </w:p>
        </w:tc>
        <w:tc>
          <w:tcPr>
            <w:tcW w:type="dxa" w:w="2880"/>
          </w:tcPr>
          <w:p>
            <w:r>
              <w:t>WBS/schedule overview and phase gate approach</w:t>
            </w:r>
          </w:p>
        </w:tc>
        <w:tc>
          <w:tcPr>
            <w:tcW w:type="dxa" w:w="2880"/>
          </w:tcPr>
          <w:p>
            <w:r>
              <w:t>J. Albert</w:t>
            </w:r>
          </w:p>
        </w:tc>
      </w:tr>
      <w:tr>
        <w:tc>
          <w:tcPr>
            <w:tcW w:type="dxa" w:w="2880"/>
          </w:tcPr>
          <w:p>
            <w:r>
              <w:t>10:55-11:10</w:t>
            </w:r>
          </w:p>
        </w:tc>
        <w:tc>
          <w:tcPr>
            <w:tcW w:type="dxa" w:w="2880"/>
          </w:tcPr>
          <w:p>
            <w:r>
              <w:t>Quality approach: RAIDD, QA/test strategy, offshore coordination</w:t>
            </w:r>
          </w:p>
        </w:tc>
        <w:tc>
          <w:tcPr>
            <w:tcW w:type="dxa" w:w="2880"/>
          </w:tcPr>
          <w:p>
            <w:r>
              <w:t>R. Whitfield</w:t>
            </w:r>
          </w:p>
        </w:tc>
      </w:tr>
      <w:tr>
        <w:tc>
          <w:tcPr>
            <w:tcW w:type="dxa" w:w="2880"/>
          </w:tcPr>
          <w:p>
            <w:r>
              <w:t>11:10-11:20</w:t>
            </w:r>
          </w:p>
        </w:tc>
        <w:tc>
          <w:tcPr>
            <w:tcW w:type="dxa" w:w="2880"/>
          </w:tcPr>
          <w:p>
            <w:r>
              <w:t>Change control process &amp; governance structure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  <w:tr>
        <w:tc>
          <w:tcPr>
            <w:tcW w:type="dxa" w:w="2880"/>
          </w:tcPr>
          <w:p>
            <w:r>
              <w:t>11:20-11:30</w:t>
            </w:r>
          </w:p>
        </w:tc>
        <w:tc>
          <w:tcPr>
            <w:tcW w:type="dxa" w:w="2880"/>
          </w:tcPr>
          <w:p>
            <w:r>
              <w:t>Open Q&amp;A, next steps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</w:tbl>
    <w:p>
      <w:pPr>
        <w:pStyle w:val="Heading2"/>
      </w:pPr>
      <w:r>
        <w:t>Key Discussion Points</w:t>
      </w:r>
    </w:p>
    <w:p>
      <w:pPr>
        <w:pStyle w:val="ListBullet"/>
      </w:pPr>
      <w:r>
        <w:t>R. Whitfield proposed a single onshore QA/Test Lead coordinating one offshore QA resource, rather than a fully separate offshore test team.</w:t>
      </w:r>
    </w:p>
    <w:p>
      <w:pPr>
        <w:pStyle w:val="ListBullet"/>
      </w:pPr>
      <w:r>
        <w:t>N. Sharma flagged that the platform touches financial reporting data, requiring SOX compliance sign-off at each major release.</w:t>
      </w:r>
    </w:p>
    <w:p>
      <w:pPr>
        <w:pStyle w:val="ListBullet"/>
      </w:pPr>
      <w:r>
        <w:t>A. Marchetti confirmed the 10% contingency reserve would grow proportionally with the base budget as changes are approved.</w:t>
      </w:r>
    </w:p>
    <w:p>
      <w:pPr>
        <w:pStyle w:val="ListBullet"/>
      </w:pPr>
      <w:r>
        <w:t>J. Albert noted the legacy platform's six major integrations would each need a dedicated developer given the differing legacy systems.</w:t>
      </w:r>
    </w:p>
    <w:p>
      <w:pPr>
        <w:pStyle w:val="Heading2"/>
      </w:pPr>
      <w:r>
        <w:t>Decisions Made</w:t>
      </w:r>
    </w:p>
    <w:p>
      <w:r>
        <w:rPr>
          <w:b/>
        </w:rPr>
        <w:t xml:space="preserve">Decision 1: </w:t>
      </w:r>
      <w:r>
        <w:t>Adopt a formal Change Control Board process for any Tier 2/3 change request.</w:t>
      </w:r>
    </w:p>
    <w:p>
      <w:r>
        <w:rPr>
          <w:b/>
        </w:rPr>
        <w:t xml:space="preserve">Decision 2: </w:t>
      </w:r>
      <w:r>
        <w:t>SOX compliance sign-off will be a checkpoint at each major release, not a single end-of-program gate.</w:t>
      </w:r>
    </w:p>
    <w:p>
      <w:r>
        <w:rPr>
          <w:b/>
        </w:rPr>
        <w:t xml:space="preserve">Decision 3: </w:t>
      </w:r>
      <w:r>
        <w:t>Weekly internal Program Status Review and monthly Steering Committee update confirmed as the standing cadence.</w:t>
      </w:r>
    </w:p>
    <w:p>
      <w:pPr>
        <w:pStyle w:val="Heading2"/>
      </w:pPr>
      <w:r>
        <w:t>Next Steps</w:t>
      </w:r>
    </w:p>
    <w:p>
      <w:pPr>
        <w:pStyle w:val="ListBullet"/>
      </w:pPr>
      <w:r>
        <w:t>Detailed WBS and schedule baseline finalized within 2 weeks.</w:t>
      </w:r>
    </w:p>
    <w:p>
      <w:pPr>
        <w:pStyle w:val="ListBullet"/>
      </w:pPr>
      <w:r>
        <w:t>Legacy data assessment kickoff for all six integration areas.</w:t>
      </w:r>
    </w:p>
    <w:p>
      <w:pPr>
        <w:pStyle w:val="ListBullet"/>
      </w:pPr>
      <w:r>
        <w:t>First Steering Committee update scheduled for early September 2026.</w:t>
      </w:r>
    </w:p>
    <w:p>
      <w:r>
        <w:rPr>
          <w:i/>
        </w:rPr>
        <w:t>Illustrative program data — created to demonstrate PMBOK/waterfall program management practice, not a real client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