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12213B"/>
          <w:sz w:val="40"/>
          <w:szCs w:val="40"/>
        </w:rPr>
        <w:t xml:space="preserve">Project Charter</w:t>
      </w:r>
    </w:p>
    <w:p>
      <w:pPr>
        <w:spacing w:after="100"/>
      </w:pPr>
      <w:r>
        <w:rPr>
          <w:color w:val="2B5C8A"/>
          <w:sz w:val="26"/>
          <w:szCs w:val="26"/>
        </w:rPr>
        <w:t xml:space="preserve">Enrollment &amp; Claims Platform Modernization</w:t>
      </w:r>
    </w:p>
    <w:p>
      <w:pPr>
        <w:spacing w:after="300"/>
      </w:pPr>
      <w:r>
        <w:rPr>
          <w:i/>
          <w:iCs/>
          <w:color w:val="5B6472"/>
          <w:sz w:val="22"/>
          <w:szCs w:val="22"/>
        </w:rPr>
        <w:t xml:space="preserve">ACME Company</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3000"/>
        <w:gridCol w:w="6350"/>
      </w:tblGrid>
      <w:tr>
        <w:tc>
          <w:tcPr>
            <w:tcW w:type="dxa" w:w="3000"/>
            <w:shd w:fill="12213B" w:val="clear"/>
          </w:tcPr>
          <w:p>
            <w:r>
              <w:rPr>
                <w:b/>
                <w:bCs/>
                <w:color w:val="FFFFFF"/>
              </w:rPr>
              <w:t xml:space="preserve">Field</w:t>
            </w:r>
          </w:p>
        </w:tc>
        <w:tc>
          <w:tcPr>
            <w:tcW w:type="dxa" w:w="6350"/>
            <w:shd w:fill="12213B" w:val="clear"/>
          </w:tcPr>
          <w:p>
            <w:r>
              <w:rPr>
                <w:b/>
                <w:bCs/>
                <w:color w:val="FFFFFF"/>
              </w:rPr>
              <w:t xml:space="preserve">Value</w:t>
            </w:r>
          </w:p>
        </w:tc>
      </w:tr>
      <w:tr>
        <w:tc>
          <w:tcPr>
            <w:tcW w:type="dxa" w:w="3000"/>
          </w:tcPr>
          <w:p>
            <w:r>
              <w:rPr>
                <w:b w:val="false"/>
                <w:bCs w:val="false"/>
              </w:rPr>
              <w:t xml:space="preserve">Program Manager</w:t>
            </w:r>
          </w:p>
        </w:tc>
        <w:tc>
          <w:tcPr>
            <w:tcW w:type="dxa" w:w="6350"/>
          </w:tcPr>
          <w:p>
            <w:r>
              <w:rPr>
                <w:b w:val="false"/>
                <w:bCs w:val="false"/>
              </w:rPr>
              <w:t xml:space="preserve">C. Tyrrell</w:t>
            </w:r>
          </w:p>
        </w:tc>
      </w:tr>
      <w:tr>
        <w:tc>
          <w:tcPr>
            <w:tcW w:type="dxa" w:w="3000"/>
          </w:tcPr>
          <w:p>
            <w:r>
              <w:rPr>
                <w:b w:val="false"/>
                <w:bCs w:val="false"/>
              </w:rPr>
              <w:t xml:space="preserve">Executive Sponsor</w:t>
            </w:r>
          </w:p>
        </w:tc>
        <w:tc>
          <w:tcPr>
            <w:tcW w:type="dxa" w:w="6350"/>
          </w:tcPr>
          <w:p>
            <w:r>
              <w:rPr>
                <w:b w:val="false"/>
                <w:bCs w:val="false"/>
              </w:rPr>
              <w:t xml:space="preserve">G. Whitfield, VP of Operations</w:t>
            </w:r>
          </w:p>
        </w:tc>
      </w:tr>
      <w:tr>
        <w:tc>
          <w:tcPr>
            <w:tcW w:type="dxa" w:w="3000"/>
          </w:tcPr>
          <w:p>
            <w:r>
              <w:rPr>
                <w:b w:val="false"/>
                <w:bCs w:val="false"/>
              </w:rPr>
              <w:t xml:space="preserve">Charter Date</w:t>
            </w:r>
          </w:p>
        </w:tc>
        <w:tc>
          <w:tcPr>
            <w:tcW w:type="dxa" w:w="6350"/>
          </w:tcPr>
          <w:p>
            <w:r>
              <w:rPr>
                <w:b w:val="false"/>
                <w:bCs w:val="false"/>
              </w:rPr>
              <w:t xml:space="preserve">28 July 2026</w:t>
            </w:r>
          </w:p>
        </w:tc>
      </w:tr>
      <w:tr>
        <w:tc>
          <w:tcPr>
            <w:tcW w:type="dxa" w:w="3000"/>
          </w:tcPr>
          <w:p>
            <w:r>
              <w:rPr>
                <w:b w:val="false"/>
                <w:bCs w:val="false"/>
              </w:rPr>
              <w:t xml:space="preserve">Version</w:t>
            </w:r>
          </w:p>
        </w:tc>
        <w:tc>
          <w:tcPr>
            <w:tcW w:type="dxa" w:w="6350"/>
          </w:tcPr>
          <w:p>
            <w:r>
              <w:rPr>
                <w:b w:val="false"/>
                <w:bCs w:val="false"/>
              </w:rPr>
              <w:t xml:space="preserve">1.0</w:t>
            </w:r>
          </w:p>
        </w:tc>
      </w:tr>
    </w:tbl>
    <w:p>
      <w:pPr>
        <w:pStyle w:val="Heading1"/>
        <w:spacing w:after="140" w:before="320"/>
      </w:pPr>
      <w:r>
        <w:t xml:space="preserve">1. Purpose &amp; Business Case</w:t>
      </w:r>
    </w:p>
    <w:p>
      <w:pPr>
        <w:spacing w:after="120"/>
      </w:pPr>
      <w:r>
        <w:t xml:space="preserve">ACME Company's current enrollment and claims processing platform is approaching end of vendor-supported life and can no longer efficiently support the volume, integration, and compliance demands of the business. Manual workarounds have proliferated across Billing, Underwriting, Claims Administration, Commission Management, and reporting functions, increasing operational risk and processing cost.</w:t>
      </w:r>
    </w:p>
    <w:p>
      <w:pPr>
        <w:spacing w:after="120"/>
      </w:pPr>
      <w:r>
        <w:t xml:space="preserve">This program authorizes a modernization of the core enrollment and claims platform, including a vendor-delivered system upgrade, conversion of member/policy, provider/producer, and historical claims data, and new integrations across six downstream systems. The business case is that platform modernization reduces manual processing cost, reduces compliance and data-quality risk, and positions the organization to meet growing transaction volume without proportional headcount growth.</w:t>
      </w:r>
    </w:p>
    <w:p>
      <w:pPr>
        <w:pStyle w:val="Heading1"/>
        <w:spacing w:after="140" w:before="320"/>
      </w:pPr>
      <w:r>
        <w:t xml:space="preserve">2. Project Objectives &amp; Success Criteria</w:t>
      </w:r>
    </w:p>
    <w:p>
      <w:pPr>
        <w:pStyle w:val="ListParagraph"/>
        <w:numPr>
          <w:ilvl w:val="0"/>
          <w:numId w:val="1"/>
        </w:numPr>
        <w:spacing w:after="80"/>
      </w:pPr>
      <w:r>
        <w:t xml:space="preserve">Successfully upgrade the core enrollment/claims platform with zero unplanned extended outages during cutover.</w:t>
      </w:r>
    </w:p>
    <w:p>
      <w:pPr>
        <w:pStyle w:val="ListParagraph"/>
        <w:numPr>
          <w:ilvl w:val="0"/>
          <w:numId w:val="1"/>
        </w:numPr>
        <w:spacing w:after="80"/>
      </w:pPr>
      <w:r>
        <w:t xml:space="preserve">Convert member/policy, provider/producer, and historical claims data with ≥99.5% record-level accuracy.</w:t>
      </w:r>
    </w:p>
    <w:p>
      <w:pPr>
        <w:pStyle w:val="ListParagraph"/>
        <w:numPr>
          <w:ilvl w:val="0"/>
          <w:numId w:val="1"/>
        </w:numPr>
        <w:spacing w:after="80"/>
      </w:pPr>
      <w:r>
        <w:t xml:space="preserve">Deliver six new integrations (Billing, Underwriting, Claims Administration, Commission Management, Data Warehouse/Reporting, Payment Processing) fully tested prior to Go-Live.</w:t>
      </w:r>
    </w:p>
    <w:p>
      <w:pPr>
        <w:pStyle w:val="ListParagraph"/>
        <w:numPr>
          <w:ilvl w:val="0"/>
          <w:numId w:val="1"/>
        </w:numPr>
        <w:spacing w:after="80"/>
      </w:pPr>
      <w:r>
        <w:t xml:space="preserve">Complete the program within the approved $7,062,000 cost baseline and the approved schedule baseline (Go-Live: 24 August 2027), within the contingency reserve.</w:t>
      </w:r>
    </w:p>
    <w:p>
      <w:pPr>
        <w:pStyle w:val="ListParagraph"/>
        <w:numPr>
          <w:ilvl w:val="0"/>
          <w:numId w:val="1"/>
        </w:numPr>
        <w:spacing w:after="80"/>
      </w:pPr>
      <w:r>
        <w:t xml:space="preserve">Achieve zero open Critical/High security findings at Go-Live.</w:t>
      </w:r>
    </w:p>
    <w:p>
      <w:pPr>
        <w:pStyle w:val="Heading1"/>
        <w:spacing w:after="140" w:before="320"/>
      </w:pPr>
      <w:r>
        <w:t xml:space="preserve">3. High-Level Scope</w:t>
      </w:r>
    </w:p>
    <w:p>
      <w:pPr>
        <w:pStyle w:val="Heading2"/>
        <w:spacing w:after="100" w:before="200"/>
      </w:pPr>
      <w:r>
        <w:t xml:space="preserve">In Scope</w:t>
      </w:r>
    </w:p>
    <w:p>
      <w:pPr>
        <w:pStyle w:val="ListParagraph"/>
        <w:numPr>
          <w:ilvl w:val="0"/>
          <w:numId w:val="1"/>
        </w:numPr>
        <w:spacing w:after="80"/>
      </w:pPr>
      <w:r>
        <w:t xml:space="preserve">Core platform version upgrade (vendor-delivered).</w:t>
      </w:r>
    </w:p>
    <w:p>
      <w:pPr>
        <w:pStyle w:val="ListParagraph"/>
        <w:numPr>
          <w:ilvl w:val="0"/>
          <w:numId w:val="1"/>
        </w:numPr>
        <w:spacing w:after="80"/>
      </w:pPr>
      <w:r>
        <w:t xml:space="preserve">Data conversion: member/policy, provider/producer, and historical claims.</w:t>
      </w:r>
    </w:p>
    <w:p>
      <w:pPr>
        <w:pStyle w:val="ListParagraph"/>
        <w:numPr>
          <w:ilvl w:val="0"/>
          <w:numId w:val="1"/>
        </w:numPr>
        <w:spacing w:after="80"/>
      </w:pPr>
      <w:r>
        <w:t xml:space="preserve">Six new system integrations: Billing, Underwriting, Claims Administration, Commission Management, Data Warehouse/Reporting, Payment Processing.</w:t>
      </w:r>
    </w:p>
    <w:p>
      <w:pPr>
        <w:pStyle w:val="ListParagraph"/>
        <w:numPr>
          <w:ilvl w:val="0"/>
          <w:numId w:val="1"/>
        </w:numPr>
        <w:spacing w:after="80"/>
      </w:pPr>
      <w:r>
        <w:t xml:space="preserve">Security, performance, and disaster-recovery testing; SOX control impact assessment for financial-system changes.</w:t>
      </w:r>
    </w:p>
    <w:p>
      <w:pPr>
        <w:pStyle w:val="ListParagraph"/>
        <w:numPr>
          <w:ilvl w:val="0"/>
          <w:numId w:val="1"/>
        </w:numPr>
        <w:spacing w:after="80"/>
      </w:pPr>
      <w:r>
        <w:t xml:space="preserve">Change management, training, and a post-go-live hypercare/warranty period.</w:t>
      </w:r>
    </w:p>
    <w:p>
      <w:pPr>
        <w:pStyle w:val="Heading2"/>
        <w:spacing w:after="100" w:before="200"/>
      </w:pPr>
      <w:r>
        <w:t xml:space="preserve">Out of Scope</w:t>
      </w:r>
    </w:p>
    <w:p>
      <w:pPr>
        <w:pStyle w:val="ListParagraph"/>
        <w:numPr>
          <w:ilvl w:val="0"/>
          <w:numId w:val="1"/>
        </w:numPr>
        <w:spacing w:after="80"/>
      </w:pPr>
      <w:r>
        <w:t xml:space="preserve">Data migration from any system outside the workstreams listed above.</w:t>
      </w:r>
    </w:p>
    <w:p>
      <w:pPr>
        <w:pStyle w:val="ListParagraph"/>
        <w:numPr>
          <w:ilvl w:val="0"/>
          <w:numId w:val="1"/>
        </w:numPr>
        <w:spacing w:after="80"/>
      </w:pPr>
      <w:r>
        <w:t xml:space="preserve">Ongoing run-state production support beyond the vendor warranty period.</w:t>
      </w:r>
    </w:p>
    <w:p>
      <w:pPr>
        <w:pStyle w:val="ListParagraph"/>
        <w:numPr>
          <w:ilvl w:val="0"/>
          <w:numId w:val="1"/>
        </w:numPr>
        <w:spacing w:after="80"/>
      </w:pPr>
      <w:r>
        <w:t xml:space="preserve">Any new product or underwriting-rules changes not directly required by the platform upgrade.</w:t>
      </w:r>
    </w:p>
    <w:p>
      <w:pPr>
        <w:pStyle w:val="Heading1"/>
        <w:spacing w:after="140" w:before="320"/>
      </w:pPr>
      <w:r>
        <w:t xml:space="preserve">4. High-Level Requirements</w:t>
      </w:r>
    </w:p>
    <w:p>
      <w:pPr>
        <w:pStyle w:val="ListParagraph"/>
        <w:numPr>
          <w:ilvl w:val="0"/>
          <w:numId w:val="1"/>
        </w:numPr>
        <w:spacing w:after="80"/>
      </w:pPr>
      <w:r>
        <w:t xml:space="preserve">The upgraded platform must retain functional parity with current production capability for all in-scope business processes.</w:t>
      </w:r>
    </w:p>
    <w:p>
      <w:pPr>
        <w:pStyle w:val="ListParagraph"/>
        <w:numPr>
          <w:ilvl w:val="0"/>
          <w:numId w:val="1"/>
        </w:numPr>
        <w:spacing w:after="80"/>
      </w:pPr>
      <w:r>
        <w:t xml:space="preserve">All six integrations must exchange data with downstream systems using currently-approved enterprise integration standards.</w:t>
      </w:r>
    </w:p>
    <w:p>
      <w:pPr>
        <w:pStyle w:val="ListParagraph"/>
        <w:numPr>
          <w:ilvl w:val="0"/>
          <w:numId w:val="1"/>
        </w:numPr>
        <w:spacing w:after="80"/>
      </w:pPr>
      <w:r>
        <w:t xml:space="preserve">The platform must pass SOX control testing prior to Go-Live given its handling of financial transactions.</w:t>
      </w:r>
    </w:p>
    <w:p>
      <w:pPr>
        <w:pStyle w:val="ListParagraph"/>
        <w:numPr>
          <w:ilvl w:val="0"/>
          <w:numId w:val="1"/>
        </w:numPr>
        <w:spacing w:after="80"/>
      </w:pPr>
      <w:r>
        <w:t xml:space="preserve">Data conversion must meet a ≥99.5% record-match accuracy threshold prior to Data Conversion Sign-off.</w:t>
      </w:r>
    </w:p>
    <w:p>
      <w:pPr>
        <w:pStyle w:val="Heading1"/>
        <w:spacing w:after="140" w:before="320"/>
      </w:pPr>
      <w:r>
        <w:t xml:space="preserve">5. High-Level Risks</w:t>
      </w:r>
    </w:p>
    <w:p>
      <w:pPr>
        <w:pStyle w:val="ListParagraph"/>
        <w:numPr>
          <w:ilvl w:val="0"/>
          <w:numId w:val="1"/>
        </w:numPr>
        <w:spacing w:after="80"/>
      </w:pPr>
      <w:r>
        <w:t xml:space="preserve">Historical claims data quality issues could extend the Data Conversion timeline if root-cause cleansing proves insufficient (highest-rated risk at Charter approval).</w:t>
      </w:r>
    </w:p>
    <w:p>
      <w:pPr>
        <w:pStyle w:val="ListParagraph"/>
        <w:numPr>
          <w:ilvl w:val="0"/>
          <w:numId w:val="1"/>
        </w:numPr>
        <w:spacing w:after="80"/>
      </w:pPr>
      <w:r>
        <w:t xml:space="preserve">Platform vendor SOW finalization delay could push back environment provisioning and the overall start of build activity.</w:t>
      </w:r>
    </w:p>
    <w:p>
      <w:pPr>
        <w:pStyle w:val="ListParagraph"/>
        <w:numPr>
          <w:ilvl w:val="0"/>
          <w:numId w:val="1"/>
        </w:numPr>
        <w:spacing w:after="80"/>
      </w:pPr>
      <w:r>
        <w:t xml:space="preserve">Offshore/onshore QA coordination gaps could reduce testing throughput if not actively managed.</w:t>
      </w:r>
    </w:p>
    <w:p>
      <w:pPr>
        <w:pStyle w:val="ListParagraph"/>
        <w:numPr>
          <w:ilvl w:val="0"/>
          <w:numId w:val="1"/>
        </w:numPr>
        <w:spacing w:after="80"/>
      </w:pPr>
      <w:r>
        <w:t xml:space="preserve">Key resource attrition (particularly Solution Architect capacity) could disrupt continuity of technical decision-making.</w:t>
      </w:r>
    </w:p>
    <w:p>
      <w:pPr>
        <w:pStyle w:val="Heading1"/>
        <w:spacing w:after="140" w:before="320"/>
      </w:pPr>
      <w:r>
        <w:t xml:space="preserve">6. Summary Milestone Schedule</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6350"/>
        <w:gridCol w:w="3000"/>
      </w:tblGrid>
      <w:tr>
        <w:tc>
          <w:tcPr>
            <w:tcW w:type="dxa" w:w="6350"/>
            <w:shd w:fill="12213B" w:val="clear"/>
          </w:tcPr>
          <w:p>
            <w:r>
              <w:rPr>
                <w:b/>
                <w:bCs/>
                <w:color w:val="FFFFFF"/>
              </w:rPr>
              <w:t xml:space="preserve">Milestone</w:t>
            </w:r>
          </w:p>
        </w:tc>
        <w:tc>
          <w:tcPr>
            <w:tcW w:type="dxa" w:w="3000"/>
            <w:shd w:fill="12213B" w:val="clear"/>
          </w:tcPr>
          <w:p>
            <w:r>
              <w:rPr>
                <w:b/>
                <w:bCs/>
                <w:color w:val="FFFFFF"/>
              </w:rPr>
              <w:t xml:space="preserve">Target Date</w:t>
            </w:r>
          </w:p>
        </w:tc>
      </w:tr>
      <w:tr>
        <w:tc>
          <w:tcPr>
            <w:tcW w:type="dxa" w:w="6350"/>
          </w:tcPr>
          <w:p>
            <w:r>
              <w:rPr>
                <w:b w:val="false"/>
                <w:bCs w:val="false"/>
              </w:rPr>
              <w:t xml:space="preserve">Project Kickoff</w:t>
            </w:r>
          </w:p>
        </w:tc>
        <w:tc>
          <w:tcPr>
            <w:tcW w:type="dxa" w:w="3000"/>
          </w:tcPr>
          <w:p>
            <w:r>
              <w:rPr>
                <w:b w:val="false"/>
                <w:bCs w:val="false"/>
              </w:rPr>
              <w:t xml:space="preserve">04 Aug 2026</w:t>
            </w:r>
          </w:p>
        </w:tc>
      </w:tr>
      <w:tr>
        <w:tc>
          <w:tcPr>
            <w:tcW w:type="dxa" w:w="6350"/>
          </w:tcPr>
          <w:p>
            <w:r>
              <w:rPr>
                <w:b w:val="false"/>
                <w:bCs w:val="false"/>
              </w:rPr>
              <w:t xml:space="preserve">Requirements &amp; Vendor Selection Complete</w:t>
            </w:r>
          </w:p>
        </w:tc>
        <w:tc>
          <w:tcPr>
            <w:tcW w:type="dxa" w:w="3000"/>
          </w:tcPr>
          <w:p>
            <w:r>
              <w:rPr>
                <w:b w:val="false"/>
                <w:bCs w:val="false"/>
              </w:rPr>
              <w:t xml:space="preserve">03 Nov 2026</w:t>
            </w:r>
          </w:p>
        </w:tc>
      </w:tr>
      <w:tr>
        <w:tc>
          <w:tcPr>
            <w:tcW w:type="dxa" w:w="6350"/>
          </w:tcPr>
          <w:p>
            <w:r>
              <w:rPr>
                <w:b w:val="false"/>
                <w:bCs w:val="false"/>
              </w:rPr>
              <w:t xml:space="preserve">System Upgrade Validated</w:t>
            </w:r>
          </w:p>
        </w:tc>
        <w:tc>
          <w:tcPr>
            <w:tcW w:type="dxa" w:w="3000"/>
          </w:tcPr>
          <w:p>
            <w:r>
              <w:rPr>
                <w:b w:val="false"/>
                <w:bCs w:val="false"/>
              </w:rPr>
              <w:t xml:space="preserve">05 Jan 2027</w:t>
            </w:r>
          </w:p>
        </w:tc>
      </w:tr>
      <w:tr>
        <w:tc>
          <w:tcPr>
            <w:tcW w:type="dxa" w:w="6350"/>
          </w:tcPr>
          <w:p>
            <w:r>
              <w:rPr>
                <w:b w:val="false"/>
                <w:bCs w:val="false"/>
              </w:rPr>
              <w:t xml:space="preserve">Data Conversion Sign-off</w:t>
            </w:r>
          </w:p>
        </w:tc>
        <w:tc>
          <w:tcPr>
            <w:tcW w:type="dxa" w:w="3000"/>
          </w:tcPr>
          <w:p>
            <w:r>
              <w:rPr>
                <w:b w:val="false"/>
                <w:bCs w:val="false"/>
              </w:rPr>
              <w:t xml:space="preserve">16 Mar 2027</w:t>
            </w:r>
          </w:p>
        </w:tc>
      </w:tr>
      <w:tr>
        <w:tc>
          <w:tcPr>
            <w:tcW w:type="dxa" w:w="6350"/>
          </w:tcPr>
          <w:p>
            <w:r>
              <w:rPr>
                <w:b w:val="false"/>
                <w:bCs w:val="false"/>
              </w:rPr>
              <w:t xml:space="preserve">Integration Build Complete</w:t>
            </w:r>
          </w:p>
        </w:tc>
        <w:tc>
          <w:tcPr>
            <w:tcW w:type="dxa" w:w="3000"/>
          </w:tcPr>
          <w:p>
            <w:r>
              <w:rPr>
                <w:b w:val="false"/>
                <w:bCs w:val="false"/>
              </w:rPr>
              <w:t xml:space="preserve">11 May 2027</w:t>
            </w:r>
          </w:p>
        </w:tc>
      </w:tr>
      <w:tr>
        <w:tc>
          <w:tcPr>
            <w:tcW w:type="dxa" w:w="6350"/>
          </w:tcPr>
          <w:p>
            <w:r>
              <w:rPr>
                <w:b w:val="false"/>
                <w:bCs w:val="false"/>
              </w:rPr>
              <w:t xml:space="preserve">Testing Complete / UAT Sign-off</w:t>
            </w:r>
          </w:p>
        </w:tc>
        <w:tc>
          <w:tcPr>
            <w:tcW w:type="dxa" w:w="3000"/>
          </w:tcPr>
          <w:p>
            <w:r>
              <w:rPr>
                <w:b w:val="false"/>
                <w:bCs w:val="false"/>
              </w:rPr>
              <w:t xml:space="preserve">10 Aug 2027</w:t>
            </w:r>
          </w:p>
        </w:tc>
      </w:tr>
      <w:tr>
        <w:tc>
          <w:tcPr>
            <w:tcW w:type="dxa" w:w="6350"/>
          </w:tcPr>
          <w:p>
            <w:r>
              <w:rPr>
                <w:b w:val="false"/>
                <w:bCs w:val="false"/>
              </w:rPr>
              <w:t xml:space="preserve">Go-Live (Production Cutover)</w:t>
            </w:r>
          </w:p>
        </w:tc>
        <w:tc>
          <w:tcPr>
            <w:tcW w:type="dxa" w:w="3000"/>
          </w:tcPr>
          <w:p>
            <w:r>
              <w:rPr>
                <w:b w:val="false"/>
                <w:bCs w:val="false"/>
              </w:rPr>
              <w:t xml:space="preserve">24 Aug 2027</w:t>
            </w:r>
          </w:p>
        </w:tc>
      </w:tr>
      <w:tr>
        <w:tc>
          <w:tcPr>
            <w:tcW w:type="dxa" w:w="6350"/>
          </w:tcPr>
          <w:p>
            <w:r>
              <w:rPr>
                <w:b w:val="false"/>
                <w:bCs w:val="false"/>
              </w:rPr>
              <w:t xml:space="preserve">Production Support Handover / Closeout</w:t>
            </w:r>
          </w:p>
        </w:tc>
        <w:tc>
          <w:tcPr>
            <w:tcW w:type="dxa" w:w="3000"/>
          </w:tcPr>
          <w:p>
            <w:r>
              <w:rPr>
                <w:b w:val="false"/>
                <w:bCs w:val="false"/>
              </w:rPr>
              <w:t xml:space="preserve">02 Nov 2027</w:t>
            </w:r>
          </w:p>
        </w:tc>
      </w:tr>
    </w:tbl>
    <w:p>
      <w:pPr>
        <w:pStyle w:val="Heading1"/>
        <w:spacing w:after="140" w:before="320"/>
      </w:pPr>
      <w:r>
        <w:t xml:space="preserve">7. Summary Budget</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6350"/>
        <w:gridCol w:w="3000"/>
      </w:tblGrid>
      <w:tr>
        <w:tc>
          <w:tcPr>
            <w:tcW w:type="dxa" w:w="6350"/>
            <w:shd w:fill="12213B" w:val="clear"/>
          </w:tcPr>
          <w:p>
            <w:r>
              <w:rPr>
                <w:b/>
                <w:bCs/>
                <w:color w:val="FFFFFF"/>
              </w:rPr>
              <w:t xml:space="preserve">Category</w:t>
            </w:r>
          </w:p>
        </w:tc>
        <w:tc>
          <w:tcPr>
            <w:tcW w:type="dxa" w:w="3000"/>
            <w:shd w:fill="12213B" w:val="clear"/>
          </w:tcPr>
          <w:p>
            <w:r>
              <w:rPr>
                <w:b/>
                <w:bCs/>
                <w:color w:val="FFFFFF"/>
              </w:rPr>
              <w:t xml:space="preserve">Amount</w:t>
            </w:r>
          </w:p>
        </w:tc>
      </w:tr>
      <w:tr>
        <w:tc>
          <w:tcPr>
            <w:tcW w:type="dxa" w:w="6350"/>
          </w:tcPr>
          <w:p>
            <w:r>
              <w:rPr>
                <w:b w:val="false"/>
                <w:bCs w:val="false"/>
              </w:rPr>
              <w:t xml:space="preserve">Platform Upgrade (Vendor)</w:t>
            </w:r>
          </w:p>
        </w:tc>
        <w:tc>
          <w:tcPr>
            <w:tcW w:type="dxa" w:w="3000"/>
          </w:tcPr>
          <w:p>
            <w:r>
              <w:rPr>
                <w:b w:val="false"/>
                <w:bCs w:val="false"/>
              </w:rPr>
              <w:t xml:space="preserve">$1,850,000</w:t>
            </w:r>
          </w:p>
        </w:tc>
      </w:tr>
      <w:tr>
        <w:tc>
          <w:tcPr>
            <w:tcW w:type="dxa" w:w="6350"/>
          </w:tcPr>
          <w:p>
            <w:r>
              <w:rPr>
                <w:b w:val="false"/>
                <w:bCs w:val="false"/>
              </w:rPr>
              <w:t xml:space="preserve">Integration Middleware (Vendor)</w:t>
            </w:r>
          </w:p>
        </w:tc>
        <w:tc>
          <w:tcPr>
            <w:tcW w:type="dxa" w:w="3000"/>
          </w:tcPr>
          <w:p>
            <w:r>
              <w:rPr>
                <w:b w:val="false"/>
                <w:bCs w:val="false"/>
              </w:rPr>
              <w:t xml:space="preserve">$620,000</w:t>
            </w:r>
          </w:p>
        </w:tc>
      </w:tr>
      <w:tr>
        <w:tc>
          <w:tcPr>
            <w:tcW w:type="dxa" w:w="6350"/>
          </w:tcPr>
          <w:p>
            <w:r>
              <w:rPr>
                <w:b w:val="false"/>
                <w:bCs w:val="false"/>
              </w:rPr>
              <w:t xml:space="preserve">Internal Labor (PM/BA/Architecture/Governance)</w:t>
            </w:r>
          </w:p>
        </w:tc>
        <w:tc>
          <w:tcPr>
            <w:tcW w:type="dxa" w:w="3000"/>
          </w:tcPr>
          <w:p>
            <w:r>
              <w:rPr>
                <w:b w:val="false"/>
                <w:bCs w:val="false"/>
              </w:rPr>
              <w:t xml:space="preserve">$1,240,000</w:t>
            </w:r>
          </w:p>
        </w:tc>
      </w:tr>
      <w:tr>
        <w:tc>
          <w:tcPr>
            <w:tcW w:type="dxa" w:w="6350"/>
          </w:tcPr>
          <w:p>
            <w:r>
              <w:rPr>
                <w:b w:val="false"/>
                <w:bCs w:val="false"/>
              </w:rPr>
              <w:t xml:space="preserve">Offshore &amp; Onshore QA Labor</w:t>
            </w:r>
          </w:p>
        </w:tc>
        <w:tc>
          <w:tcPr>
            <w:tcW w:type="dxa" w:w="3000"/>
          </w:tcPr>
          <w:p>
            <w:r>
              <w:rPr>
                <w:b w:val="false"/>
                <w:bCs w:val="false"/>
              </w:rPr>
              <w:t xml:space="preserve">$780,000</w:t>
            </w:r>
          </w:p>
        </w:tc>
      </w:tr>
      <w:tr>
        <w:tc>
          <w:tcPr>
            <w:tcW w:type="dxa" w:w="6350"/>
          </w:tcPr>
          <w:p>
            <w:r>
              <w:rPr>
                <w:b w:val="false"/>
                <w:bCs w:val="false"/>
              </w:rPr>
              <w:t xml:space="preserve">Development Labor (6 Integration Tracks)</w:t>
            </w:r>
          </w:p>
        </w:tc>
        <w:tc>
          <w:tcPr>
            <w:tcW w:type="dxa" w:w="3000"/>
          </w:tcPr>
          <w:p>
            <w:r>
              <w:rPr>
                <w:b w:val="false"/>
                <w:bCs w:val="false"/>
              </w:rPr>
              <w:t xml:space="preserve">$1,340,000</w:t>
            </w:r>
          </w:p>
        </w:tc>
      </w:tr>
      <w:tr>
        <w:tc>
          <w:tcPr>
            <w:tcW w:type="dxa" w:w="6350"/>
          </w:tcPr>
          <w:p>
            <w:r>
              <w:rPr>
                <w:b w:val="false"/>
                <w:bCs w:val="false"/>
              </w:rPr>
              <w:t xml:space="preserve">Infrastructure / Cloud Environment</w:t>
            </w:r>
          </w:p>
        </w:tc>
        <w:tc>
          <w:tcPr>
            <w:tcW w:type="dxa" w:w="3000"/>
          </w:tcPr>
          <w:p>
            <w:r>
              <w:rPr>
                <w:b w:val="false"/>
                <w:bCs w:val="false"/>
              </w:rPr>
              <w:t xml:space="preserve">$410,000</w:t>
            </w:r>
          </w:p>
        </w:tc>
      </w:tr>
      <w:tr>
        <w:tc>
          <w:tcPr>
            <w:tcW w:type="dxa" w:w="6350"/>
          </w:tcPr>
          <w:p>
            <w:r>
              <w:rPr>
                <w:b w:val="false"/>
                <w:bCs w:val="false"/>
              </w:rPr>
              <w:t xml:space="preserve">Training &amp; Change Management</w:t>
            </w:r>
          </w:p>
        </w:tc>
        <w:tc>
          <w:tcPr>
            <w:tcW w:type="dxa" w:w="3000"/>
          </w:tcPr>
          <w:p>
            <w:r>
              <w:rPr>
                <w:b w:val="false"/>
                <w:bCs w:val="false"/>
              </w:rPr>
              <w:t xml:space="preserve">$180,000</w:t>
            </w:r>
          </w:p>
        </w:tc>
      </w:tr>
      <w:tr>
        <w:tc>
          <w:tcPr>
            <w:tcW w:type="dxa" w:w="6350"/>
          </w:tcPr>
          <w:p>
            <w:r>
              <w:rPr>
                <w:b w:val="false"/>
                <w:bCs w:val="false"/>
              </w:rPr>
              <w:t xml:space="preserve">Contingency Reserve (10%)</w:t>
            </w:r>
          </w:p>
        </w:tc>
        <w:tc>
          <w:tcPr>
            <w:tcW w:type="dxa" w:w="3000"/>
          </w:tcPr>
          <w:p>
            <w:r>
              <w:rPr>
                <w:b w:val="false"/>
                <w:bCs w:val="false"/>
              </w:rPr>
              <w:t xml:space="preserve">$642,000</w:t>
            </w:r>
          </w:p>
        </w:tc>
      </w:tr>
      <w:tr>
        <w:tc>
          <w:tcPr>
            <w:tcW w:type="dxa" w:w="6350"/>
          </w:tcPr>
          <w:p>
            <w:r>
              <w:rPr>
                <w:b w:val="false"/>
                <w:bCs w:val="false"/>
              </w:rPr>
              <w:t xml:space="preserve">TOTAL AUTHORIZED BUDGET</w:t>
            </w:r>
          </w:p>
        </w:tc>
        <w:tc>
          <w:tcPr>
            <w:tcW w:type="dxa" w:w="3000"/>
          </w:tcPr>
          <w:p>
            <w:r>
              <w:rPr>
                <w:b w:val="false"/>
                <w:bCs w:val="false"/>
              </w:rPr>
              <w:t xml:space="preserve">$7,062,000</w:t>
            </w:r>
          </w:p>
        </w:tc>
      </w:tr>
    </w:tbl>
    <w:p>
      <w:pPr>
        <w:pStyle w:val="Heading1"/>
        <w:spacing w:after="140" w:before="320"/>
      </w:pPr>
      <w:r>
        <w:t xml:space="preserve">8. Key Stakeholders</w:t>
      </w:r>
    </w:p>
    <w:tbl>
      <w:tblPr>
        <w:tblW w:type="dxa" w:w="9350"/>
        <w:tblBorders>
          <w:top w:val="single" w:color="auto" w:sz="4"/>
          <w:left w:val="single" w:color="auto" w:sz="4"/>
          <w:bottom w:val="single" w:color="auto" w:sz="4"/>
          <w:right w:val="single" w:color="auto" w:sz="4"/>
          <w:insideH w:val="single" w:color="auto" w:sz="4"/>
          <w:insideV w:val="single" w:color="auto" w:sz="4"/>
        </w:tblBorders>
      </w:tblPr>
      <w:tblGrid>
        <w:gridCol w:w="3000"/>
        <w:gridCol w:w="6350"/>
      </w:tblGrid>
      <w:tr>
        <w:tc>
          <w:tcPr>
            <w:tcW w:type="dxa" w:w="3000"/>
            <w:shd w:fill="12213B" w:val="clear"/>
          </w:tcPr>
          <w:p>
            <w:r>
              <w:rPr>
                <w:b/>
                <w:bCs/>
                <w:color w:val="FFFFFF"/>
              </w:rPr>
              <w:t xml:space="preserve">Name</w:t>
            </w:r>
          </w:p>
        </w:tc>
        <w:tc>
          <w:tcPr>
            <w:tcW w:type="dxa" w:w="6350"/>
            <w:shd w:fill="12213B" w:val="clear"/>
          </w:tcPr>
          <w:p>
            <w:r>
              <w:rPr>
                <w:b/>
                <w:bCs/>
                <w:color w:val="FFFFFF"/>
              </w:rPr>
              <w:t xml:space="preserve">Role</w:t>
            </w:r>
          </w:p>
        </w:tc>
      </w:tr>
      <w:tr>
        <w:tc>
          <w:tcPr>
            <w:tcW w:type="dxa" w:w="3000"/>
          </w:tcPr>
          <w:p>
            <w:r>
              <w:rPr>
                <w:b w:val="false"/>
                <w:bCs w:val="false"/>
              </w:rPr>
              <w:t xml:space="preserve">G. Whitfield</w:t>
            </w:r>
          </w:p>
        </w:tc>
        <w:tc>
          <w:tcPr>
            <w:tcW w:type="dxa" w:w="6350"/>
          </w:tcPr>
          <w:p>
            <w:r>
              <w:rPr>
                <w:b w:val="false"/>
                <w:bCs w:val="false"/>
              </w:rPr>
              <w:t xml:space="preserve">Executive Sponsor (VP of Operations)</w:t>
            </w:r>
          </w:p>
        </w:tc>
      </w:tr>
      <w:tr>
        <w:tc>
          <w:tcPr>
            <w:tcW w:type="dxa" w:w="3000"/>
          </w:tcPr>
          <w:p>
            <w:r>
              <w:rPr>
                <w:b w:val="false"/>
                <w:bCs w:val="false"/>
              </w:rPr>
              <w:t xml:space="preserve">A. Marchetti</w:t>
            </w:r>
          </w:p>
        </w:tc>
        <w:tc>
          <w:tcPr>
            <w:tcW w:type="dxa" w:w="6350"/>
          </w:tcPr>
          <w:p>
            <w:r>
              <w:rPr>
                <w:b w:val="false"/>
                <w:bCs w:val="false"/>
              </w:rPr>
              <w:t xml:space="preserve">CIO / VP of Information Technology</w:t>
            </w:r>
          </w:p>
        </w:tc>
      </w:tr>
      <w:tr>
        <w:tc>
          <w:tcPr>
            <w:tcW w:type="dxa" w:w="3000"/>
          </w:tcPr>
          <w:p>
            <w:r>
              <w:rPr>
                <w:b w:val="false"/>
                <w:bCs w:val="false"/>
              </w:rPr>
              <w:t xml:space="preserve">R. Castellano</w:t>
            </w:r>
          </w:p>
        </w:tc>
        <w:tc>
          <w:tcPr>
            <w:tcW w:type="dxa" w:w="6350"/>
          </w:tcPr>
          <w:p>
            <w:r>
              <w:rPr>
                <w:b w:val="false"/>
                <w:bCs w:val="false"/>
              </w:rPr>
              <w:t xml:space="preserve">VP, Underwriting</w:t>
            </w:r>
          </w:p>
        </w:tc>
      </w:tr>
      <w:tr>
        <w:tc>
          <w:tcPr>
            <w:tcW w:type="dxa" w:w="3000"/>
          </w:tcPr>
          <w:p>
            <w:r>
              <w:rPr>
                <w:b w:val="false"/>
                <w:bCs w:val="false"/>
              </w:rPr>
              <w:t xml:space="preserve">J. Boudreaux</w:t>
            </w:r>
          </w:p>
        </w:tc>
        <w:tc>
          <w:tcPr>
            <w:tcW w:type="dxa" w:w="6350"/>
          </w:tcPr>
          <w:p>
            <w:r>
              <w:rPr>
                <w:b w:val="false"/>
                <w:bCs w:val="false"/>
              </w:rPr>
              <w:t xml:space="preserve">VP, Claims Administration</w:t>
            </w:r>
          </w:p>
        </w:tc>
      </w:tr>
      <w:tr>
        <w:tc>
          <w:tcPr>
            <w:tcW w:type="dxa" w:w="3000"/>
          </w:tcPr>
          <w:p>
            <w:r>
              <w:rPr>
                <w:b w:val="false"/>
                <w:bCs w:val="false"/>
              </w:rPr>
              <w:t xml:space="preserve">S. Whitcombe</w:t>
            </w:r>
          </w:p>
        </w:tc>
        <w:tc>
          <w:tcPr>
            <w:tcW w:type="dxa" w:w="6350"/>
          </w:tcPr>
          <w:p>
            <w:r>
              <w:rPr>
                <w:b w:val="false"/>
                <w:bCs w:val="false"/>
              </w:rPr>
              <w:t xml:space="preserve">VP, Finance</w:t>
            </w:r>
          </w:p>
        </w:tc>
      </w:tr>
      <w:tr>
        <w:tc>
          <w:tcPr>
            <w:tcW w:type="dxa" w:w="3000"/>
          </w:tcPr>
          <w:p>
            <w:r>
              <w:rPr>
                <w:b w:val="false"/>
                <w:bCs w:val="false"/>
              </w:rPr>
              <w:t xml:space="preserve">N. Sharma</w:t>
            </w:r>
          </w:p>
        </w:tc>
        <w:tc>
          <w:tcPr>
            <w:tcW w:type="dxa" w:w="6350"/>
          </w:tcPr>
          <w:p>
            <w:r>
              <w:rPr>
                <w:b w:val="false"/>
                <w:bCs w:val="false"/>
              </w:rPr>
              <w:t xml:space="preserve">Chief Compliance Officer / General Counsel</w:t>
            </w:r>
          </w:p>
        </w:tc>
      </w:tr>
      <w:tr>
        <w:tc>
          <w:tcPr>
            <w:tcW w:type="dxa" w:w="3000"/>
          </w:tcPr>
          <w:p>
            <w:r>
              <w:rPr>
                <w:b w:val="false"/>
                <w:bCs w:val="false"/>
              </w:rPr>
              <w:t xml:space="preserve">S. Ryan</w:t>
            </w:r>
          </w:p>
        </w:tc>
        <w:tc>
          <w:tcPr>
            <w:tcW w:type="dxa" w:w="6350"/>
          </w:tcPr>
          <w:p>
            <w:r>
              <w:rPr>
                <w:b w:val="false"/>
                <w:bCs w:val="false"/>
              </w:rPr>
              <w:t xml:space="preserve">Director, PMO</w:t>
            </w:r>
          </w:p>
        </w:tc>
      </w:tr>
      <w:tr>
        <w:tc>
          <w:tcPr>
            <w:tcW w:type="dxa" w:w="3000"/>
          </w:tcPr>
          <w:p>
            <w:r>
              <w:rPr>
                <w:b w:val="false"/>
                <w:bCs w:val="false"/>
              </w:rPr>
              <w:t xml:space="preserve">C. Tyrrell</w:t>
            </w:r>
          </w:p>
        </w:tc>
        <w:tc>
          <w:tcPr>
            <w:tcW w:type="dxa" w:w="6350"/>
          </w:tcPr>
          <w:p>
            <w:r>
              <w:rPr>
                <w:b w:val="false"/>
                <w:bCs w:val="false"/>
              </w:rPr>
              <w:t xml:space="preserve">Program Manager</w:t>
            </w:r>
          </w:p>
        </w:tc>
      </w:tr>
    </w:tbl>
    <w:p>
      <w:pPr>
        <w:pStyle w:val="Heading1"/>
        <w:spacing w:after="140" w:before="320"/>
      </w:pPr>
      <w:r>
        <w:t xml:space="preserve">9. Project Manager Authority</w:t>
      </w:r>
    </w:p>
    <w:p>
      <w:pPr>
        <w:spacing w:after="120"/>
      </w:pPr>
      <w:r>
        <w:t xml:space="preserve">C. Tyrrell is hereby authorized to apply organizational resources to program activities, manage the approved budget within the cost baseline (escalating to the Steering Committee for any variance exceeding the approved contingency reserve), and approve task-level schedule adjustments that do not affect a Steering Committee-level milestone. Changes to scope, the cost baseline, or a contractual/compliance obligation require Steering Committee approval per the decision-rights tiering defined in the Project Management Plan.</w:t>
      </w:r>
    </w:p>
    <w:p>
      <w:pPr>
        <w:pStyle w:val="Heading1"/>
        <w:spacing w:after="140" w:before="320"/>
      </w:pPr>
      <w:r>
        <w:t xml:space="preserve">10. Assumptions &amp; Constraints</w:t>
      </w:r>
    </w:p>
    <w:p>
      <w:pPr>
        <w:pStyle w:val="ListParagraph"/>
        <w:numPr>
          <w:ilvl w:val="0"/>
          <w:numId w:val="1"/>
        </w:numPr>
        <w:spacing w:after="80"/>
      </w:pPr>
      <w:r>
        <w:t xml:space="preserve">Existing network and security infrastructure is sufficient to support the upgraded platform without separate capital investment.</w:t>
      </w:r>
    </w:p>
    <w:p>
      <w:pPr>
        <w:pStyle w:val="ListParagraph"/>
        <w:numPr>
          <w:ilvl w:val="0"/>
          <w:numId w:val="1"/>
        </w:numPr>
        <w:spacing w:after="80"/>
      </w:pPr>
      <w:r>
        <w:t xml:space="preserve">Named resources are available at their planned allocation; no extended unplanned absences are assumed.</w:t>
      </w:r>
    </w:p>
    <w:p>
      <w:pPr>
        <w:pStyle w:val="ListParagraph"/>
        <w:numPr>
          <w:ilvl w:val="0"/>
          <w:numId w:val="1"/>
        </w:numPr>
        <w:spacing w:after="80"/>
      </w:pPr>
      <w:r>
        <w:t xml:space="preserve">The platform vendor's proposed system upgrade approach will not require a change to the underlying database platform.</w:t>
      </w:r>
    </w:p>
    <w:p>
      <w:pPr>
        <w:pStyle w:val="ListParagraph"/>
        <w:numPr>
          <w:ilvl w:val="0"/>
          <w:numId w:val="1"/>
        </w:numPr>
        <w:spacing w:after="80"/>
      </w:pPr>
      <w:r>
        <w:t xml:space="preserve">The program must complete Go-Live prior to the start of the next open-enrollment period.</w:t>
      </w:r>
    </w:p>
    <w:p>
      <w:pPr>
        <w:pStyle w:val="Heading1"/>
        <w:spacing w:after="140" w:before="320"/>
      </w:pPr>
      <w:r>
        <w:t xml:space="preserve">11. Approval</w:t>
      </w:r>
    </w:p>
    <w:p>
      <w:pPr>
        <w:spacing w:after="120"/>
      </w:pPr>
      <w:r>
        <w:t xml:space="preserve">This charter authorizes the Program Manager to proceed with planning and execution of the Enrollment &amp; Claims Platform Modernization program as described above.</w:t>
      </w:r>
    </w:p>
    <w:p>
      <w:pPr>
        <w:spacing w:before="300"/>
      </w:pPr>
      <w:r>
        <w:t xml:space="preserve">_________________________________          Date: ____________</w:t>
      </w:r>
    </w:p>
    <w:p>
      <w:pPr>
        <w:spacing w:after="120"/>
      </w:pPr>
      <w:r>
        <w:t xml:space="preserve">G. Whitfield, Executive Sponsor</w:t>
      </w:r>
    </w:p>
    <w:p>
      <w:pPr>
        <w:spacing w:before="200"/>
      </w:pPr>
      <w:r>
        <w:t xml:space="preserve">_________________________________          Date: ____________</w:t>
      </w:r>
    </w:p>
    <w:p>
      <w:pPr>
        <w:spacing w:after="120"/>
      </w:pPr>
      <w:r>
        <w:t xml:space="preserve">C. Tyrrell, Program Manager</w:t>
      </w:r>
    </w:p>
    <w:p>
      <w:pPr>
        <w:spacing w:before="300"/>
      </w:pPr>
      <w:r>
        <w:rPr>
          <w:i/>
          <w:iCs/>
          <w:color w:val="5B6472"/>
          <w:sz w:val="18"/>
          <w:szCs w:val="18"/>
        </w:rPr>
        <w:t xml:space="preserve">Illustrative program data — created to demonstrate PMBOK-standard program management practice, not a real client engagement.</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2026-07-07T11:10:33.394Z</dcterms:created>
  <dcterms:modified xsi:type="dcterms:W3CDTF">2026-07-07T11:10:33.394Z</dcterms:modified>
</cp:coreProperties>
</file>

<file path=docProps/custom.xml><?xml version="1.0" encoding="utf-8"?>
<Properties xmlns="http://schemas.openxmlformats.org/officeDocument/2006/custom-properties" xmlns:vt="http://schemas.openxmlformats.org/officeDocument/2006/docPropsVTypes"/>
</file>