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2"/>
          <w:szCs w:val="32"/>
        </w:rPr>
        <w:t xml:space="preserve">Enrollment &amp; Claims Platform Modernization</w:t>
      </w:r>
    </w:p>
    <w:p>
      <w:pPr>
        <w:spacing w:after="200"/>
      </w:pPr>
      <w:r>
        <w:rPr>
          <w:i/>
          <w:iCs/>
          <w:color w:val="5B6472"/>
          <w:sz w:val="22"/>
          <w:szCs w:val="22"/>
        </w:rPr>
        <w:t xml:space="preserve">Program Dashboard — Portfolio Demo</w:t>
      </w:r>
    </w:p>
    <w:p>
      <w:pPr>
        <w:spacing w:after="120"/>
      </w:pPr>
      <w:r>
        <w:rPr>
          <w:color w:val="5B6472"/>
          <w:sz w:val="20"/>
          <w:szCs w:val="20"/>
        </w:rPr>
        <w:t xml:space="preserve">Program Manager: C. Tyrrell     |     Status As Of: 15 Jan 2027     |     Phase: 3 &amp; 4 — Data Conversion / Integration Build (Entry)     |     Overall Health: Yellow</w:t>
      </w:r>
    </w:p>
    <w:p>
      <w:pPr>
        <w:pStyle w:val="Heading1"/>
        <w:spacing w:after="150" w:before="300"/>
      </w:pPr>
      <w:r>
        <w:t xml:space="preserve">Executive Summary</w:t>
      </w:r>
    </w:p>
    <w:p>
      <w:pPr>
        <w:spacing w:after="120"/>
      </w:pPr>
      <w:r>
        <w:t xml:space="preserve">Enrollment &amp; Claims Platform Modernization has completed Initiation, Requirements &amp; Vendor Selection, and System Upgrade Validation, and is now entering Data Conversion and Integration Build in parallel — roughly 37% through the 331-day baseline schedule. The program is currently in Yellow status due to a high-severity data quality risk (R-001) in the historical claims data, which could extend the Data Conversion timeline if root-cause cleansing isn't sufficient before Dry Run 2. The get-to-Green strategy is to complete early data profiling and automated cleansing rules ahead of schedule, escalate any systemic issues to the Business Data Owner immediately, and hold a third Dry Run in reserve if reconciliation tolerance isn't met. No change to the Data Conversion Sign-off milestone (16 Mar 2027) is being proposed at this time.</w:t>
      </w:r>
    </w:p>
    <w:p>
      <w:pPr>
        <w:pStyle w:val="Heading2"/>
        <w:spacing w:after="150" w:before="300"/>
      </w:pPr>
      <w:r>
        <w:t xml:space="preserve">Program Health at a Glance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17"/>
        <w:gridCol w:w="3117"/>
        <w:gridCol w:w="3116"/>
      </w:tblGrid>
      <w:tr>
        <w:tc>
          <w:tcPr>
            <w:tcW w:type="dxa" w:w="3117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3117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Status/Value</w:t>
            </w:r>
          </w:p>
        </w:tc>
        <w:tc>
          <w:tcPr>
            <w:tcW w:type="dxa" w:w="3116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Detail</w:t>
            </w:r>
          </w:p>
        </w:tc>
      </w:tr>
      <w:tr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Overall Status</w:t>
            </w:r>
          </w:p>
        </w:tc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Yellow</w:t>
            </w:r>
          </w:p>
        </w:tc>
        <w:tc>
          <w:tcPr>
            <w:tcW w:type="dxa" w:w="3116"/>
          </w:tcPr>
          <w:p>
            <w:r>
              <w:rPr>
                <w:b w:val="false"/>
                <w:bCs w:val="false"/>
              </w:rPr>
              <w:t xml:space="preserve">Historical claims data quality risk (R-001)</w:t>
            </w:r>
          </w:p>
        </w:tc>
      </w:tr>
      <w:tr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Schedule</w:t>
            </w:r>
          </w:p>
        </w:tc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37%</w:t>
            </w:r>
          </w:p>
        </w:tc>
        <w:tc>
          <w:tcPr>
            <w:tcW w:type="dxa" w:w="3116"/>
          </w:tcPr>
          <w:p>
            <w:r>
              <w:rPr>
                <w:b w:val="false"/>
                <w:bCs w:val="false"/>
              </w:rPr>
              <w:t xml:space="preserve">123 of 331 working days elapsed</w:t>
            </w:r>
          </w:p>
        </w:tc>
      </w:tr>
      <w:tr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Budget</w:t>
            </w:r>
          </w:p>
        </w:tc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43%</w:t>
            </w:r>
          </w:p>
        </w:tc>
        <w:tc>
          <w:tcPr>
            <w:tcW w:type="dxa" w:w="3116"/>
          </w:tcPr>
          <w:p>
            <w:r>
              <w:rPr>
                <w:b w:val="false"/>
                <w:bCs w:val="false"/>
              </w:rPr>
              <w:t xml:space="preserve">$3.05M of $7.06M baseline spent</w:t>
            </w:r>
          </w:p>
        </w:tc>
      </w:tr>
      <w:tr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Open Risks (High)</w:t>
            </w:r>
          </w:p>
        </w:tc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dxa" w:w="3116"/>
          </w:tcPr>
          <w:p>
            <w:r>
              <w:rPr>
                <w:b w:val="false"/>
                <w:bCs w:val="false"/>
              </w:rPr>
              <w:t xml:space="preserve">R-001, unmitigated</w:t>
            </w:r>
          </w:p>
        </w:tc>
      </w:tr>
      <w:tr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Next Milestone</w:t>
            </w:r>
          </w:p>
        </w:tc>
        <w:tc>
          <w:tcPr>
            <w:tcW w:type="dxa" w:w="3117"/>
          </w:tcPr>
          <w:p>
            <w:r>
              <w:rPr>
                <w:b w:val="false"/>
                <w:bCs w:val="false"/>
              </w:rPr>
              <w:t xml:space="preserve">Data Conversion Sign-off</w:t>
            </w:r>
          </w:p>
        </w:tc>
        <w:tc>
          <w:tcPr>
            <w:tcW w:type="dxa" w:w="3116"/>
          </w:tcPr>
          <w:p>
            <w:r>
              <w:rPr>
                <w:b w:val="false"/>
                <w:bCs w:val="false"/>
              </w:rPr>
              <w:t xml:space="preserve">Targeted 16 Mar 2027</w:t>
            </w:r>
          </w:p>
        </w:tc>
      </w:tr>
    </w:tbl>
    <w:p>
      <w:pPr>
        <w:pStyle w:val="Heading2"/>
        <w:spacing w:after="150" w:before="300"/>
      </w:pPr>
      <w:r>
        <w:t xml:space="preserve">Milestone Timeline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2338"/>
        <w:gridCol w:w="2337"/>
      </w:tblGrid>
      <w:tr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tcW w:type="dxa" w:w="2338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Date</w:t>
            </w:r>
          </w:p>
        </w:tc>
        <w:tc>
          <w:tcPr>
            <w:tcW w:type="dxa" w:w="2337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Project Kickoff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04 Aug 26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Requirements &amp; Vendor Selection Complete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03 Nov 26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System Upgrade Validated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05 Jan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Complete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Data Conversion / Integration Build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In progress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Current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Integration Build Complete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11 May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Testing / UAT Sign-off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10 Aug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Go-Live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24 Aug 27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Upcoming</w:t>
            </w:r>
          </w:p>
        </w:tc>
      </w:tr>
    </w:tbl>
    <w:p>
      <w:pPr>
        <w:pStyle w:val="Heading2"/>
        <w:spacing w:after="150" w:before="300"/>
      </w:pPr>
      <w:r>
        <w:t xml:space="preserve">Top Risks (from RAIDD Log)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5950"/>
        <w:gridCol w:w="2000"/>
      </w:tblGrid>
      <w:tr>
        <w:tc>
          <w:tcPr>
            <w:tcW w:type="dxa" w:w="14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ID</w:t>
            </w:r>
          </w:p>
        </w:tc>
        <w:tc>
          <w:tcPr>
            <w:tcW w:type="dxa" w:w="595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Description</w:t>
            </w:r>
          </w:p>
        </w:tc>
        <w:tc>
          <w:tcPr>
            <w:tcW w:type="dxa" w:w="20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</w:tr>
      <w:tr>
        <w:tc>
          <w:tcPr>
            <w:tcW w:type="dxa" w:w="1400"/>
          </w:tcPr>
          <w:p>
            <w:r>
              <w:rPr>
                <w:b w:val="false"/>
                <w:bCs w:val="false"/>
              </w:rPr>
              <w:t xml:space="preserve">R-001</w:t>
            </w:r>
          </w:p>
        </w:tc>
        <w:tc>
          <w:tcPr>
            <w:tcW w:type="dxa" w:w="5950"/>
          </w:tcPr>
          <w:p>
            <w:r>
              <w:rPr>
                <w:b w:val="false"/>
                <w:bCs w:val="false"/>
              </w:rPr>
              <w:t xml:space="preserve">Historical claims data quality issues may extend Data Conversion timeline (Score 9, High/High)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T. McCormick</w:t>
            </w:r>
          </w:p>
        </w:tc>
      </w:tr>
      <w:tr>
        <w:tc>
          <w:tcPr>
            <w:tcW w:type="dxa" w:w="1400"/>
          </w:tcPr>
          <w:p>
            <w:r>
              <w:rPr>
                <w:b w:val="false"/>
                <w:bCs w:val="false"/>
              </w:rPr>
              <w:t xml:space="preserve">R-003</w:t>
            </w:r>
          </w:p>
        </w:tc>
        <w:tc>
          <w:tcPr>
            <w:tcW w:type="dxa" w:w="5950"/>
          </w:tcPr>
          <w:p>
            <w:r>
              <w:rPr>
                <w:b w:val="false"/>
                <w:bCs w:val="false"/>
              </w:rPr>
              <w:t xml:space="preserve">Vendor SOW negotiation delay could push Environment Provisioning start (Score 6, Medium/High)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</w:tr>
      <w:tr>
        <w:tc>
          <w:tcPr>
            <w:tcW w:type="dxa" w:w="1400"/>
          </w:tcPr>
          <w:p>
            <w:r>
              <w:rPr>
                <w:b w:val="false"/>
                <w:bCs w:val="false"/>
              </w:rPr>
              <w:t xml:space="preserve">R-002</w:t>
            </w:r>
          </w:p>
        </w:tc>
        <w:tc>
          <w:tcPr>
            <w:tcW w:type="dxa" w:w="5950"/>
          </w:tcPr>
          <w:p>
            <w:r>
              <w:rPr>
                <w:b w:val="false"/>
                <w:bCs w:val="false"/>
              </w:rPr>
              <w:t xml:space="preserve">Offshore/onshore QA coordination gaps could slow defect turnaround (Score 4, Medium/Medium)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</w:tr>
    </w:tbl>
    <w:p>
      <w:pPr>
        <w:pStyle w:val="Heading2"/>
        <w:spacing w:after="150" w:before="300"/>
      </w:pPr>
      <w:r>
        <w:t xml:space="preserve">Budget Snapshot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Metric</w:t>
            </w:r>
          </w:p>
        </w:tc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Amount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Spent to Date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$3.05M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Forecast at Completion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$7.21M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Contingency Remaining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$0.58M of $0.642M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Variance to Baseline</w:t>
            </w:r>
          </w:p>
        </w:tc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+2.1%</w:t>
            </w:r>
          </w:p>
        </w:tc>
      </w:tr>
    </w:tbl>
    <w:p>
      <w:pPr>
        <w:pStyle w:val="Heading2"/>
        <w:spacing w:after="150" w:before="300"/>
      </w:pPr>
      <w:r>
        <w:t xml:space="preserve">WBS Phase Progress (315 line items, 8 phases)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2338"/>
        <w:gridCol w:w="2337"/>
      </w:tblGrid>
      <w:tr>
        <w:tc>
          <w:tcPr>
            <w:tcW w:type="dxa" w:w="4675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Phase</w:t>
            </w:r>
          </w:p>
        </w:tc>
        <w:tc>
          <w:tcPr>
            <w:tcW w:type="dxa" w:w="2338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% Complete</w:t>
            </w:r>
          </w:p>
        </w:tc>
        <w:tc>
          <w:tcPr>
            <w:tcW w:type="dxa" w:w="2337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1. Initiation &amp; Requirements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100%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Closed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2. System Upgrade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100%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Closed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3. Data Conversion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16%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In progress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4. Integration Build (Agile)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9%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In progress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5. Testing (Functional-UAT)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5%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Prep only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6. Cutover &amp; Hypercare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0%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Not started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7. Change Mgmt &amp; Training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37%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In progress (parallel)</w:t>
            </w:r>
          </w:p>
        </w:tc>
      </w:tr>
      <w:tr>
        <w:tc>
          <w:tcPr>
            <w:tcW w:type="dxa" w:w="4675"/>
          </w:tcPr>
          <w:p>
            <w:r>
              <w:rPr>
                <w:b w:val="false"/>
                <w:bCs w:val="false"/>
              </w:rPr>
              <w:t xml:space="preserve">8. Program Governance &amp; Risk</w:t>
            </w:r>
          </w:p>
        </w:tc>
        <w:tc>
          <w:tcPr>
            <w:tcW w:type="dxa" w:w="2338"/>
          </w:tcPr>
          <w:p>
            <w:r>
              <w:rPr>
                <w:b w:val="false"/>
                <w:bCs w:val="false"/>
              </w:rPr>
              <w:t xml:space="preserve">42%</w:t>
            </w:r>
          </w:p>
        </w:tc>
        <w:tc>
          <w:tcPr>
            <w:tcW w:type="dxa" w:w="2337"/>
          </w:tcPr>
          <w:p>
            <w:r>
              <w:rPr>
                <w:b w:val="false"/>
                <w:bCs w:val="false"/>
              </w:rPr>
              <w:t xml:space="preserve">In progress (parallel)</w:t>
            </w:r>
          </w:p>
        </w:tc>
      </w:tr>
    </w:tbl>
    <w:p>
      <w:pPr>
        <w:pStyle w:val="Heading2"/>
        <w:spacing w:after="150" w:before="300"/>
      </w:pPr>
      <w:r>
        <w:t xml:space="preserve">RAIDD Summary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850"/>
      </w:tblGrid>
      <w:tr>
        <w:tc>
          <w:tcPr>
            <w:tcW w:type="dxa" w:w="25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20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Count</w:t>
            </w:r>
          </w:p>
        </w:tc>
        <w:tc>
          <w:tcPr>
            <w:tcW w:type="dxa" w:w="485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Note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Risks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dxa" w:w="4850"/>
          </w:tcPr>
          <w:p>
            <w:r>
              <w:rPr>
                <w:b w:val="false"/>
                <w:bCs w:val="false"/>
              </w:rPr>
              <w:t xml:space="preserve">1 high (R-001), 2 medium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Issues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dxa" w:w="4850"/>
          </w:tcPr>
          <w:p>
            <w:r>
              <w:rPr>
                <w:b w:val="false"/>
                <w:bCs w:val="false"/>
              </w:rPr>
              <w:t xml:space="preserve">1 open (I-003), 4 resolved/closed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Actions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dxa" w:w="4850"/>
          </w:tcPr>
          <w:p>
            <w:r>
              <w:rPr>
                <w:b w:val="false"/>
                <w:bCs w:val="false"/>
              </w:rPr>
              <w:t xml:space="preserve">3 in progress, 3 complete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Decisions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dxa" w:w="4850"/>
          </w:tcPr>
          <w:p>
            <w:r>
              <w:rPr>
                <w:b w:val="false"/>
                <w:bCs w:val="false"/>
              </w:rPr>
              <w:t xml:space="preserve">All approved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Dependencies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dxa" w:w="4850"/>
          </w:tcPr>
          <w:p>
            <w:r>
              <w:rPr>
                <w:b w:val="false"/>
                <w:bCs w:val="false"/>
              </w:rPr>
              <w:t xml:space="preserve">1 at risk (DEP-003), 4 on track</w:t>
            </w:r>
          </w:p>
        </w:tc>
      </w:tr>
    </w:tbl>
    <w:p>
      <w:pPr>
        <w:pStyle w:val="Heading2"/>
        <w:spacing w:after="150" w:before="300"/>
      </w:pPr>
      <w:r>
        <w:t xml:space="preserve">Resource Utilization (Current Period)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000"/>
        <w:gridCol w:w="1850"/>
      </w:tblGrid>
      <w:tr>
        <w:tc>
          <w:tcPr>
            <w:tcW w:type="dxa" w:w="25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Resource</w:t>
            </w:r>
          </w:p>
        </w:tc>
        <w:tc>
          <w:tcPr>
            <w:tcW w:type="dxa" w:w="50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Role</w:t>
            </w:r>
          </w:p>
        </w:tc>
        <w:tc>
          <w:tcPr>
            <w:tcW w:type="dxa" w:w="185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Utilization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100%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F. Jones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Lead Business Analyst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60%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J. Albert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Solution Architect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90%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M. Alvarez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System Upgrade Lead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70%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T. McCormick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Data Conversion Lead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100%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QA / Test Lead (Onshore)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65%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P. Sundaram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Offshore QA Coordination Lead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50%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Vendor / Procurement Manager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40%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N. Sharma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Compliance / Legal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30%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G. Fenwick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Internal Audit / SOX Compliance Lead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35%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E. Kowalski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PMO / Governance Analyst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25%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L. Bergström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Change Manager (OCM Lead)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40%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H. Osei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Training Lead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20%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V. Alaoui</w:t>
            </w:r>
          </w:p>
        </w:tc>
        <w:tc>
          <w:tcPr>
            <w:tcW w:type="dxa" w:w="5000"/>
          </w:tcPr>
          <w:p>
            <w:r>
              <w:rPr>
                <w:b w:val="false"/>
                <w:bCs w:val="false"/>
              </w:rPr>
              <w:t xml:space="preserve">Customer Experience Manager</w:t>
            </w:r>
          </w:p>
        </w:tc>
        <w:tc>
          <w:tcPr>
            <w:tcW w:type="dxa" w:w="1850"/>
          </w:tcPr>
          <w:p>
            <w:r>
              <w:rPr>
                <w:b w:val="false"/>
                <w:bCs w:val="false"/>
              </w:rPr>
              <w:t xml:space="preserve">20%</w:t>
            </w:r>
          </w:p>
        </w:tc>
      </w:tr>
    </w:tbl>
    <w:p>
      <w:pPr>
        <w:spacing w:before="300"/>
      </w:pPr>
      <w:r>
        <w:rPr>
          <w:i/>
          <w:iCs/>
          <w:color w:val="5B6472"/>
          <w:sz w:val="18"/>
          <w:szCs w:val="18"/>
        </w:rPr>
        <w:t xml:space="preserve">Illustrative program data — built to demonstrate PM tooling and reporting design, not a real client engagement.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2026-07-07T18:25:14.152Z</dcterms:created>
  <dcterms:modified xsi:type="dcterms:W3CDTF">2026-07-07T18:25:14.172Z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