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12213B"/>
          <w:sz w:val="32"/>
          <w:szCs w:val="32"/>
        </w:rPr>
        <w:t xml:space="preserve">Project Governance Model</w:t>
      </w:r>
    </w:p>
    <w:p>
      <w:pPr>
        <w:spacing w:after="200"/>
      </w:pPr>
      <w:r>
        <w:rPr>
          <w:i/>
          <w:iCs/>
          <w:color w:val="5B6472"/>
          <w:sz w:val="22"/>
          <w:szCs w:val="22"/>
        </w:rPr>
        <w:t xml:space="preserve">Enrollment &amp; Claims Platform Modernization</w:t>
      </w:r>
    </w:p>
    <w:p>
      <w:pPr>
        <w:spacing w:after="120"/>
      </w:pPr>
      <w:r>
        <w:rPr>
          <w:color w:val="5B6472"/>
          <w:sz w:val="20"/>
          <w:szCs w:val="20"/>
        </w:rPr>
        <w:t xml:space="preserve">ACME Company     |     Version 1.0     |     15 Jan 2027</w:t>
      </w:r>
    </w:p>
    <w:p>
      <w:pPr>
        <w:pStyle w:val="Heading1"/>
        <w:spacing w:after="150" w:before="300"/>
      </w:pPr>
      <w:r>
        <w:t xml:space="preserve">1. Purpose &amp; Governance Principles</w:t>
      </w:r>
    </w:p>
    <w:p>
      <w:pPr>
        <w:spacing w:after="120"/>
      </w:pPr>
      <w:r>
        <w:t xml:space="preserve">This document establishes the decision-making authority, escalation paths, and accountability structure for the Enrollment &amp; Claims Platform Modernization program. It is distinct from the Project Management Plan: the PM Plan describes how the work will be executed; this document defines who has the authority to decide, and how disputes or exceptions are resolved when the plan needs to change.</w:t>
      </w:r>
    </w:p>
    <w:p>
      <w:pPr>
        <w:spacing w:after="120"/>
      </w:pPr>
      <w:r>
        <w:t xml:space="preserve">Five principles guide this governance model:</w:t>
      </w:r>
    </w:p>
    <w:p>
      <w:pPr>
        <w:pStyle w:val="ListParagraph"/>
        <w:numPr>
          <w:ilvl w:val="0"/>
          <w:numId w:val="1"/>
        </w:numPr>
        <w:spacing w:after="100"/>
      </w:pPr>
      <w:r>
        <w:t xml:space="preserve">Transparency — decisions and their rationale are documented and visible to all relevant stakeholders.</w:t>
      </w:r>
    </w:p>
    <w:p>
      <w:pPr>
        <w:pStyle w:val="ListParagraph"/>
        <w:numPr>
          <w:ilvl w:val="0"/>
          <w:numId w:val="1"/>
        </w:numPr>
        <w:spacing w:after="100"/>
      </w:pPr>
      <w:r>
        <w:t xml:space="preserve">Accountability — every decision has a single accountable owner, even when multiple people are consulted.</w:t>
      </w:r>
    </w:p>
    <w:p>
      <w:pPr>
        <w:pStyle w:val="ListParagraph"/>
        <w:numPr>
          <w:ilvl w:val="0"/>
          <w:numId w:val="1"/>
        </w:numPr>
        <w:spacing w:after="100"/>
      </w:pPr>
      <w:r>
        <w:t xml:space="preserve">Timely Decision-Making — defined escalation timeframes prevent issues stalling at the wrong authority level.</w:t>
      </w:r>
    </w:p>
    <w:p>
      <w:pPr>
        <w:pStyle w:val="ListParagraph"/>
        <w:numPr>
          <w:ilvl w:val="0"/>
          <w:numId w:val="1"/>
        </w:numPr>
        <w:spacing w:after="100"/>
      </w:pPr>
      <w:r>
        <w:t xml:space="preserve">Proportionality — governance oversight scales with the risk and impact of the decision.</w:t>
      </w:r>
    </w:p>
    <w:p>
      <w:pPr>
        <w:pStyle w:val="ListParagraph"/>
        <w:numPr>
          <w:ilvl w:val="0"/>
          <w:numId w:val="1"/>
        </w:numPr>
        <w:spacing w:after="100"/>
      </w:pPr>
      <w:r>
        <w:t xml:space="preserve">Single Source of Truth — this document is the authoritative reference for decision rights across the program.</w:t>
      </w:r>
    </w:p>
    <w:p>
      <w:pPr>
        <w:pStyle w:val="Heading2"/>
        <w:spacing w:after="150" w:before="300"/>
      </w:pPr>
      <w:r>
        <w:t xml:space="preserve">2. Governance Structure</w:t>
      </w:r>
    </w:p>
    <w:tbl>
      <w:tblPr>
        <w:tblW w:type="dxa" w:w="10350"/>
        <w:tblBorders>
          <w:top w:val="single" w:color="auto" w:sz="4"/>
          <w:left w:val="single" w:color="auto" w:sz="4"/>
          <w:bottom w:val="single" w:color="auto" w:sz="4"/>
          <w:right w:val="single" w:color="auto" w:sz="4"/>
          <w:insideH w:val="single" w:color="auto" w:sz="4"/>
          <w:insideV w:val="single" w:color="auto" w:sz="4"/>
        </w:tblBorders>
      </w:tblPr>
      <w:tblGrid>
        <w:gridCol w:w="2200"/>
        <w:gridCol w:w="3500"/>
        <w:gridCol w:w="4650"/>
      </w:tblGrid>
      <w:tr>
        <w:tc>
          <w:tcPr>
            <w:tcW w:type="dxa" w:w="2200"/>
            <w:shd w:fill="12213B" w:val="clear"/>
          </w:tcPr>
          <w:p>
            <w:r>
              <w:rPr>
                <w:b/>
                <w:bCs/>
                <w:color w:val="FFFFFF"/>
              </w:rPr>
              <w:t xml:space="preserve">Body</w:t>
            </w:r>
          </w:p>
        </w:tc>
        <w:tc>
          <w:tcPr>
            <w:tcW w:type="dxa" w:w="3500"/>
            <w:shd w:fill="12213B" w:val="clear"/>
          </w:tcPr>
          <w:p>
            <w:r>
              <w:rPr>
                <w:b/>
                <w:bCs/>
                <w:color w:val="FFFFFF"/>
              </w:rPr>
              <w:t xml:space="preserve">Composition</w:t>
            </w:r>
          </w:p>
        </w:tc>
        <w:tc>
          <w:tcPr>
            <w:tcW w:type="dxa" w:w="4650"/>
            <w:shd w:fill="12213B" w:val="clear"/>
          </w:tcPr>
          <w:p>
            <w:r>
              <w:rPr>
                <w:b/>
                <w:bCs/>
                <w:color w:val="FFFFFF"/>
              </w:rPr>
              <w:t xml:space="preserve">Function</w:t>
            </w:r>
          </w:p>
        </w:tc>
      </w:tr>
      <w:tr>
        <w:tc>
          <w:tcPr>
            <w:tcW w:type="dxa" w:w="2200"/>
          </w:tcPr>
          <w:p>
            <w:r>
              <w:rPr>
                <w:b w:val="false"/>
                <w:bCs w:val="false"/>
              </w:rPr>
              <w:t xml:space="preserve">Executive Sponsor</w:t>
            </w:r>
          </w:p>
        </w:tc>
        <w:tc>
          <w:tcPr>
            <w:tcW w:type="dxa" w:w="3500"/>
          </w:tcPr>
          <w:p>
            <w:r>
              <w:rPr>
                <w:b w:val="false"/>
                <w:bCs w:val="false"/>
              </w:rPr>
              <w:t xml:space="preserve">G. Whitfield, VP of Operations</w:t>
            </w:r>
          </w:p>
        </w:tc>
        <w:tc>
          <w:tcPr>
            <w:tcW w:type="dxa" w:w="4650"/>
          </w:tcPr>
          <w:p>
            <w:r>
              <w:rPr>
                <w:b w:val="false"/>
                <w:bCs w:val="false"/>
              </w:rPr>
              <w:t xml:space="preserve">Ultimate accountability for the program's business outcome; final authority on strategic direction</w:t>
            </w:r>
          </w:p>
        </w:tc>
      </w:tr>
      <w:tr>
        <w:tc>
          <w:tcPr>
            <w:tcW w:type="dxa" w:w="2200"/>
          </w:tcPr>
          <w:p>
            <w:r>
              <w:rPr>
                <w:b w:val="false"/>
                <w:bCs w:val="false"/>
              </w:rPr>
              <w:t xml:space="preserve">Steering Committee</w:t>
            </w:r>
          </w:p>
        </w:tc>
        <w:tc>
          <w:tcPr>
            <w:tcW w:type="dxa" w:w="3500"/>
          </w:tcPr>
          <w:p>
            <w:r>
              <w:rPr>
                <w:b w:val="false"/>
                <w:bCs w:val="false"/>
              </w:rPr>
              <w:t xml:space="preserve">8 members</w:t>
            </w:r>
          </w:p>
        </w:tc>
        <w:tc>
          <w:tcPr>
            <w:tcW w:type="dxa" w:w="4650"/>
          </w:tcPr>
          <w:p>
            <w:r>
              <w:rPr>
                <w:b w:val="false"/>
                <w:bCs w:val="false"/>
              </w:rPr>
              <w:t xml:space="preserve">Collective decision-making body for changes exceeding the PM's delegated authority</w:t>
            </w:r>
          </w:p>
        </w:tc>
      </w:tr>
      <w:tr>
        <w:tc>
          <w:tcPr>
            <w:tcW w:type="dxa" w:w="2200"/>
          </w:tcPr>
          <w:p>
            <w:r>
              <w:rPr>
                <w:b w:val="false"/>
                <w:bCs w:val="false"/>
              </w:rPr>
              <w:t xml:space="preserve">PMO</w:t>
            </w:r>
          </w:p>
        </w:tc>
        <w:tc>
          <w:tcPr>
            <w:tcW w:type="dxa" w:w="3500"/>
          </w:tcPr>
          <w:p>
            <w:r>
              <w:rPr>
                <w:b w:val="false"/>
                <w:bCs w:val="false"/>
              </w:rPr>
              <w:t xml:space="preserve">S. Ryan, Director, PMO</w:t>
            </w:r>
          </w:p>
        </w:tc>
        <w:tc>
          <w:tcPr>
            <w:tcW w:type="dxa" w:w="4650"/>
          </w:tcPr>
          <w:p>
            <w:r>
              <w:rPr>
                <w:b w:val="false"/>
                <w:bCs w:val="false"/>
              </w:rPr>
              <w:t xml:space="preserve">Owns and maintains this framework; facilitates Change Control Board reviews</w:t>
            </w:r>
          </w:p>
        </w:tc>
      </w:tr>
      <w:tr>
        <w:tc>
          <w:tcPr>
            <w:tcW w:type="dxa" w:w="2200"/>
          </w:tcPr>
          <w:p>
            <w:r>
              <w:rPr>
                <w:b w:val="false"/>
                <w:bCs w:val="false"/>
              </w:rPr>
              <w:t xml:space="preserve">Program Manager</w:t>
            </w:r>
          </w:p>
        </w:tc>
        <w:tc>
          <w:tcPr>
            <w:tcW w:type="dxa" w:w="3500"/>
          </w:tcPr>
          <w:p>
            <w:r>
              <w:rPr>
                <w:b w:val="false"/>
                <w:bCs w:val="false"/>
              </w:rPr>
              <w:t xml:space="preserve">C. Tyrrell</w:t>
            </w:r>
          </w:p>
        </w:tc>
        <w:tc>
          <w:tcPr>
            <w:tcW w:type="dxa" w:w="4650"/>
          </w:tcPr>
          <w:p>
            <w:r>
              <w:rPr>
                <w:b w:val="false"/>
                <w:bCs w:val="false"/>
              </w:rPr>
              <w:t xml:space="preserve">Day-to-day execution authority within delegated limits</w:t>
            </w:r>
          </w:p>
        </w:tc>
      </w:tr>
    </w:tbl>
    <w:p>
      <w:pPr>
        <w:pStyle w:val="Heading2"/>
        <w:spacing w:after="150" w:before="300"/>
      </w:pPr>
      <w:r>
        <w:t xml:space="preserve">Steering Committee Roster</w:t>
      </w:r>
    </w:p>
    <w:tbl>
      <w:tblPr>
        <w:tblW w:type="dxa" w:w="11350"/>
        <w:tblBorders>
          <w:top w:val="single" w:color="auto" w:sz="4"/>
          <w:left w:val="single" w:color="auto" w:sz="4"/>
          <w:bottom w:val="single" w:color="auto" w:sz="4"/>
          <w:right w:val="single" w:color="auto" w:sz="4"/>
          <w:insideH w:val="single" w:color="auto" w:sz="4"/>
          <w:insideV w:val="single" w:color="auto" w:sz="4"/>
        </w:tblBorders>
      </w:tblPr>
      <w:tblGrid>
        <w:gridCol w:w="2900"/>
        <w:gridCol w:w="7000"/>
        <w:gridCol w:w="1450"/>
      </w:tblGrid>
      <w:tr>
        <w:tc>
          <w:tcPr>
            <w:tcW w:type="dxa" w:w="2900"/>
            <w:shd w:fill="12213B" w:val="clear"/>
          </w:tcPr>
          <w:p>
            <w:r>
              <w:rPr>
                <w:b/>
                <w:bCs/>
                <w:color w:val="FFFFFF"/>
              </w:rPr>
              <w:t xml:space="preserve">Name</w:t>
            </w:r>
          </w:p>
        </w:tc>
        <w:tc>
          <w:tcPr>
            <w:tcW w:type="dxa" w:w="7000"/>
            <w:shd w:fill="12213B" w:val="clear"/>
          </w:tcPr>
          <w:p>
            <w:r>
              <w:rPr>
                <w:b/>
                <w:bCs/>
                <w:color w:val="FFFFFF"/>
              </w:rPr>
              <w:t xml:space="preserve">Role</w:t>
            </w:r>
          </w:p>
        </w:tc>
        <w:tc>
          <w:tcPr>
            <w:tcW w:type="dxa" w:w="1450"/>
            <w:shd w:fill="12213B" w:val="clear"/>
          </w:tcPr>
          <w:p>
            <w:r>
              <w:rPr>
                <w:b/>
                <w:bCs/>
                <w:color w:val="FFFFFF"/>
              </w:rPr>
              <w:t xml:space="preserve">Voting</w:t>
            </w:r>
          </w:p>
        </w:tc>
      </w:tr>
      <w:tr>
        <w:tc>
          <w:tcPr>
            <w:tcW w:type="dxa" w:w="2900"/>
          </w:tcPr>
          <w:p>
            <w:r>
              <w:rPr>
                <w:b w:val="false"/>
                <w:bCs w:val="false"/>
              </w:rPr>
              <w:t xml:space="preserve">G. Whitfield</w:t>
            </w:r>
          </w:p>
        </w:tc>
        <w:tc>
          <w:tcPr>
            <w:tcW w:type="dxa" w:w="7000"/>
          </w:tcPr>
          <w:p>
            <w:r>
              <w:rPr>
                <w:b w:val="false"/>
                <w:bCs w:val="false"/>
              </w:rPr>
              <w:t xml:space="preserve">Executive Sponsor (VP of Operations)</w:t>
            </w:r>
          </w:p>
        </w:tc>
        <w:tc>
          <w:tcPr>
            <w:tcW w:type="dxa" w:w="1450"/>
          </w:tcPr>
          <w:p>
            <w:r>
              <w:rPr>
                <w:b w:val="false"/>
                <w:bCs w:val="false"/>
              </w:rPr>
              <w:t xml:space="preserve">Yes</w:t>
            </w:r>
          </w:p>
        </w:tc>
      </w:tr>
      <w:tr>
        <w:tc>
          <w:tcPr>
            <w:tcW w:type="dxa" w:w="2900"/>
          </w:tcPr>
          <w:p>
            <w:r>
              <w:rPr>
                <w:b w:val="false"/>
                <w:bCs w:val="false"/>
              </w:rPr>
              <w:t xml:space="preserve">A. Marchetti</w:t>
            </w:r>
          </w:p>
        </w:tc>
        <w:tc>
          <w:tcPr>
            <w:tcW w:type="dxa" w:w="7000"/>
          </w:tcPr>
          <w:p>
            <w:r>
              <w:rPr>
                <w:b w:val="false"/>
                <w:bCs w:val="false"/>
              </w:rPr>
              <w:t xml:space="preserve">CIO / VP of Information Technology</w:t>
            </w:r>
          </w:p>
        </w:tc>
        <w:tc>
          <w:tcPr>
            <w:tcW w:type="dxa" w:w="1450"/>
          </w:tcPr>
          <w:p>
            <w:r>
              <w:rPr>
                <w:b w:val="false"/>
                <w:bCs w:val="false"/>
              </w:rPr>
              <w:t xml:space="preserve">Yes</w:t>
            </w:r>
          </w:p>
        </w:tc>
      </w:tr>
      <w:tr>
        <w:tc>
          <w:tcPr>
            <w:tcW w:type="dxa" w:w="2900"/>
          </w:tcPr>
          <w:p>
            <w:r>
              <w:rPr>
                <w:b w:val="false"/>
                <w:bCs w:val="false"/>
              </w:rPr>
              <w:t xml:space="preserve">R. Castellano</w:t>
            </w:r>
          </w:p>
        </w:tc>
        <w:tc>
          <w:tcPr>
            <w:tcW w:type="dxa" w:w="7000"/>
          </w:tcPr>
          <w:p>
            <w:r>
              <w:rPr>
                <w:b w:val="false"/>
                <w:bCs w:val="false"/>
              </w:rPr>
              <w:t xml:space="preserve">VP, Underwriting</w:t>
            </w:r>
          </w:p>
        </w:tc>
        <w:tc>
          <w:tcPr>
            <w:tcW w:type="dxa" w:w="1450"/>
          </w:tcPr>
          <w:p>
            <w:r>
              <w:rPr>
                <w:b w:val="false"/>
                <w:bCs w:val="false"/>
              </w:rPr>
              <w:t xml:space="preserve">Yes</w:t>
            </w:r>
          </w:p>
        </w:tc>
      </w:tr>
      <w:tr>
        <w:tc>
          <w:tcPr>
            <w:tcW w:type="dxa" w:w="2900"/>
          </w:tcPr>
          <w:p>
            <w:r>
              <w:rPr>
                <w:b w:val="false"/>
                <w:bCs w:val="false"/>
              </w:rPr>
              <w:t xml:space="preserve">J. Boudreaux</w:t>
            </w:r>
          </w:p>
        </w:tc>
        <w:tc>
          <w:tcPr>
            <w:tcW w:type="dxa" w:w="7000"/>
          </w:tcPr>
          <w:p>
            <w:r>
              <w:rPr>
                <w:b w:val="false"/>
                <w:bCs w:val="false"/>
              </w:rPr>
              <w:t xml:space="preserve">VP, Claims Administration</w:t>
            </w:r>
          </w:p>
        </w:tc>
        <w:tc>
          <w:tcPr>
            <w:tcW w:type="dxa" w:w="1450"/>
          </w:tcPr>
          <w:p>
            <w:r>
              <w:rPr>
                <w:b w:val="false"/>
                <w:bCs w:val="false"/>
              </w:rPr>
              <w:t xml:space="preserve">Yes</w:t>
            </w:r>
          </w:p>
        </w:tc>
      </w:tr>
      <w:tr>
        <w:tc>
          <w:tcPr>
            <w:tcW w:type="dxa" w:w="2900"/>
          </w:tcPr>
          <w:p>
            <w:r>
              <w:rPr>
                <w:b w:val="false"/>
                <w:bCs w:val="false"/>
              </w:rPr>
              <w:t xml:space="preserve">S. Whitcombe</w:t>
            </w:r>
          </w:p>
        </w:tc>
        <w:tc>
          <w:tcPr>
            <w:tcW w:type="dxa" w:w="7000"/>
          </w:tcPr>
          <w:p>
            <w:r>
              <w:rPr>
                <w:b w:val="false"/>
                <w:bCs w:val="false"/>
              </w:rPr>
              <w:t xml:space="preserve">VP, Finance</w:t>
            </w:r>
          </w:p>
        </w:tc>
        <w:tc>
          <w:tcPr>
            <w:tcW w:type="dxa" w:w="1450"/>
          </w:tcPr>
          <w:p>
            <w:r>
              <w:rPr>
                <w:b w:val="false"/>
                <w:bCs w:val="false"/>
              </w:rPr>
              <w:t xml:space="preserve">Yes</w:t>
            </w:r>
          </w:p>
        </w:tc>
      </w:tr>
      <w:tr>
        <w:tc>
          <w:tcPr>
            <w:tcW w:type="dxa" w:w="2900"/>
          </w:tcPr>
          <w:p>
            <w:r>
              <w:rPr>
                <w:b w:val="false"/>
                <w:bCs w:val="false"/>
              </w:rPr>
              <w:t xml:space="preserve">N. Sharma</w:t>
            </w:r>
          </w:p>
        </w:tc>
        <w:tc>
          <w:tcPr>
            <w:tcW w:type="dxa" w:w="7000"/>
          </w:tcPr>
          <w:p>
            <w:r>
              <w:rPr>
                <w:b w:val="false"/>
                <w:bCs w:val="false"/>
              </w:rPr>
              <w:t xml:space="preserve">Chief Compliance Officer / General Counsel</w:t>
            </w:r>
          </w:p>
        </w:tc>
        <w:tc>
          <w:tcPr>
            <w:tcW w:type="dxa" w:w="1450"/>
          </w:tcPr>
          <w:p>
            <w:r>
              <w:rPr>
                <w:b w:val="false"/>
                <w:bCs w:val="false"/>
              </w:rPr>
              <w:t xml:space="preserve">Yes</w:t>
            </w:r>
          </w:p>
        </w:tc>
      </w:tr>
      <w:tr>
        <w:tc>
          <w:tcPr>
            <w:tcW w:type="dxa" w:w="2900"/>
          </w:tcPr>
          <w:p>
            <w:r>
              <w:rPr>
                <w:b w:val="false"/>
                <w:bCs w:val="false"/>
              </w:rPr>
              <w:t xml:space="preserve">S. Ryan</w:t>
            </w:r>
          </w:p>
        </w:tc>
        <w:tc>
          <w:tcPr>
            <w:tcW w:type="dxa" w:w="7000"/>
          </w:tcPr>
          <w:p>
            <w:r>
              <w:rPr>
                <w:b w:val="false"/>
                <w:bCs w:val="false"/>
              </w:rPr>
              <w:t xml:space="preserve">Director, PMO</w:t>
            </w:r>
          </w:p>
        </w:tc>
        <w:tc>
          <w:tcPr>
            <w:tcW w:type="dxa" w:w="1450"/>
          </w:tcPr>
          <w:p>
            <w:r>
              <w:rPr>
                <w:b w:val="false"/>
                <w:bCs w:val="false"/>
              </w:rPr>
              <w:t xml:space="preserve">Yes</w:t>
            </w:r>
          </w:p>
        </w:tc>
      </w:tr>
      <w:tr>
        <w:tc>
          <w:tcPr>
            <w:tcW w:type="dxa" w:w="2900"/>
          </w:tcPr>
          <w:p>
            <w:r>
              <w:rPr>
                <w:b w:val="false"/>
                <w:bCs w:val="false"/>
              </w:rPr>
              <w:t xml:space="preserve">C. Tyrrell</w:t>
            </w:r>
          </w:p>
        </w:tc>
        <w:tc>
          <w:tcPr>
            <w:tcW w:type="dxa" w:w="7000"/>
          </w:tcPr>
          <w:p>
            <w:r>
              <w:rPr>
                <w:b w:val="false"/>
                <w:bCs w:val="false"/>
              </w:rPr>
              <w:t xml:space="preserve">Program Manager (briefs the committee)</w:t>
            </w:r>
          </w:p>
        </w:tc>
        <w:tc>
          <w:tcPr>
            <w:tcW w:type="dxa" w:w="1450"/>
          </w:tcPr>
          <w:p>
            <w:r>
              <w:rPr>
                <w:b w:val="false"/>
                <w:bCs w:val="false"/>
              </w:rPr>
              <w:t xml:space="preserve">No</w:t>
            </w:r>
          </w:p>
        </w:tc>
      </w:tr>
    </w:tbl>
    <w:p>
      <w:pPr>
        <w:spacing w:after="120"/>
      </w:pPr>
      <w:r>
        <w:rPr>
          <w:i/>
          <w:iCs/>
          <w:color w:val="5B6472"/>
          <w:sz w:val="18"/>
          <w:szCs w:val="18"/>
        </w:rPr>
        <w:t xml:space="preserve">For the full reporting-line structure, including matrixed/loaned resources shown with dotted-line relationships, see the companion Organizational Chart.</w:t>
      </w:r>
    </w:p>
    <w:p>
      <w:pPr>
        <w:pStyle w:val="Heading2"/>
        <w:spacing w:after="150" w:before="300"/>
      </w:pPr>
      <w:r>
        <w:t xml:space="preserve">3. Roles, Responsibilities &amp; Decision Rights</w:t>
      </w:r>
    </w:p>
    <w:p>
      <w:pPr>
        <w:spacing w:after="120"/>
      </w:pPr>
      <w:r>
        <w:t xml:space="preserve">Every decision on this program falls into one of three authority tiers — the same model applied across the Change Control Log, RAIDD Log, and PM Plan Section 16.</w:t>
      </w:r>
    </w:p>
    <w:tbl>
      <w:tblPr>
        <w:tblW w:type="dxa" w:w="1035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5950"/>
      </w:tblGrid>
      <w:tr>
        <w:tc>
          <w:tcPr>
            <w:tcW w:type="dxa" w:w="1400"/>
            <w:shd w:fill="12213B" w:val="clear"/>
          </w:tcPr>
          <w:p>
            <w:r>
              <w:rPr>
                <w:b/>
                <w:bCs/>
                <w:color w:val="FFFFFF"/>
              </w:rPr>
              <w:t xml:space="preserve">Tier</w:t>
            </w:r>
          </w:p>
        </w:tc>
        <w:tc>
          <w:tcPr>
            <w:tcW w:type="dxa" w:w="3000"/>
            <w:shd w:fill="12213B" w:val="clear"/>
          </w:tcPr>
          <w:p>
            <w:r>
              <w:rPr>
                <w:b/>
                <w:bCs/>
                <w:color w:val="FFFFFF"/>
              </w:rPr>
              <w:t xml:space="preserve">Authority</w:t>
            </w:r>
          </w:p>
        </w:tc>
        <w:tc>
          <w:tcPr>
            <w:tcW w:type="dxa" w:w="5950"/>
            <w:shd w:fill="12213B" w:val="clear"/>
          </w:tcPr>
          <w:p>
            <w:r>
              <w:rPr>
                <w:b/>
                <w:bCs/>
                <w:color w:val="FFFFFF"/>
              </w:rPr>
              <w:t xml:space="preserve">Decisions Covered</w:t>
            </w:r>
          </w:p>
        </w:tc>
      </w:tr>
      <w:tr>
        <w:tc>
          <w:tcPr>
            <w:tcW w:type="dxa" w:w="1400"/>
          </w:tcPr>
          <w:p>
            <w:r>
              <w:rPr>
                <w:b w:val="false"/>
                <w:bCs w:val="false"/>
              </w:rPr>
              <w:t xml:space="preserve">Tier 1</w:t>
            </w:r>
          </w:p>
        </w:tc>
        <w:tc>
          <w:tcPr>
            <w:tcW w:type="dxa" w:w="3000"/>
          </w:tcPr>
          <w:p>
            <w:r>
              <w:rPr>
                <w:b w:val="false"/>
                <w:bCs w:val="false"/>
              </w:rPr>
              <w:t xml:space="preserve">Program Manager (informational)</w:t>
            </w:r>
          </w:p>
        </w:tc>
        <w:tc>
          <w:tcPr>
            <w:tcW w:type="dxa" w:w="5950"/>
          </w:tcPr>
          <w:p>
            <w:r>
              <w:rPr>
                <w:b w:val="false"/>
                <w:bCs w:val="false"/>
              </w:rPr>
              <w:t xml:space="preserve">Task-level schedule adjustments with no milestone impact; resource assignment; scope clarifications</w:t>
            </w:r>
          </w:p>
        </w:tc>
      </w:tr>
      <w:tr>
        <w:tc>
          <w:tcPr>
            <w:tcW w:type="dxa" w:w="1400"/>
          </w:tcPr>
          <w:p>
            <w:r>
              <w:rPr>
                <w:b w:val="false"/>
                <w:bCs w:val="false"/>
              </w:rPr>
              <w:t xml:space="preserve">Tier 2</w:t>
            </w:r>
          </w:p>
        </w:tc>
        <w:tc>
          <w:tcPr>
            <w:tcW w:type="dxa" w:w="3000"/>
          </w:tcPr>
          <w:p>
            <w:r>
              <w:rPr>
                <w:b w:val="false"/>
                <w:bCs w:val="false"/>
              </w:rPr>
              <w:t xml:space="preserve">Steering Committee</w:t>
            </w:r>
          </w:p>
        </w:tc>
        <w:tc>
          <w:tcPr>
            <w:tcW w:type="dxa" w:w="5950"/>
          </w:tcPr>
          <w:p>
            <w:r>
              <w:rPr>
                <w:b w:val="false"/>
                <w:bCs w:val="false"/>
              </w:rPr>
              <w:t xml:space="preserve">Any cost impact to baseline; schedule impact to a major milestone; scope changes affecting a deliverable; compliance-related changes</w:t>
            </w:r>
          </w:p>
        </w:tc>
      </w:tr>
      <w:tr>
        <w:tc>
          <w:tcPr>
            <w:tcW w:type="dxa" w:w="1400"/>
          </w:tcPr>
          <w:p>
            <w:r>
              <w:rPr>
                <w:b w:val="false"/>
                <w:bCs w:val="false"/>
              </w:rPr>
              <w:t xml:space="preserve">Tier 3</w:t>
            </w:r>
          </w:p>
        </w:tc>
        <w:tc>
          <w:tcPr>
            <w:tcW w:type="dxa" w:w="3000"/>
          </w:tcPr>
          <w:p>
            <w:r>
              <w:rPr>
                <w:b w:val="false"/>
                <w:bCs w:val="false"/>
              </w:rPr>
              <w:t xml:space="preserve">Executive Sponsor</w:t>
            </w:r>
          </w:p>
        </w:tc>
        <w:tc>
          <w:tcPr>
            <w:tcW w:type="dxa" w:w="5950"/>
          </w:tcPr>
          <w:p>
            <w:r>
              <w:rPr>
                <w:b w:val="false"/>
                <w:bCs w:val="false"/>
              </w:rPr>
              <w:t xml:space="preserve">Governance structure changes; program-level scope changes; cost baseline changes exceeding contingency; continuation/cancellation</w:t>
            </w:r>
          </w:p>
        </w:tc>
      </w:tr>
    </w:tbl>
    <w:p>
      <w:pPr>
        <w:pStyle w:val="Heading2"/>
        <w:spacing w:after="150" w:before="300"/>
      </w:pPr>
      <w:r>
        <w:t xml:space="preserve">3.1 Governance-Process RACI Matrix</w:t>
      </w:r>
    </w:p>
    <w:p>
      <w:pPr>
        <w:spacing w:after="120"/>
      </w:pPr>
      <w:r>
        <w:rPr>
          <w:color w:val="5B6472"/>
          <w:sz w:val="20"/>
          <w:szCs w:val="20"/>
        </w:rPr>
        <w:t xml:space="preserve">This matrix covers governance-process activities only — approving changes, accepting risk, authorizing exceptions. It is deliberately narrower than, and complementary to, the deliverable sign-off RACI already defined in PM Plan §9.2 (Requirements Sign-off, Vendor Selection, UAT Sign-off, Go-Live Decision, etc.). The two matrices should never duplicate the same row — if an activity is already governed by PM Plan §9.2, it is intentionally not repeated here.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450"/>
        <w:gridCol w:w="2100"/>
        <w:gridCol w:w="2100"/>
        <w:gridCol w:w="1550"/>
        <w:gridCol w:w="1150"/>
      </w:tblGrid>
      <w:tr>
        <w:tc>
          <w:tcPr>
            <w:tcW w:type="dxa" w:w="2450"/>
            <w:shd w:fill="12213B" w:val="clear"/>
          </w:tcPr>
          <w:p>
            <w:r>
              <w:rPr>
                <w:b/>
                <w:bCs/>
                <w:color w:val="FFFFFF"/>
              </w:rPr>
              <w:t xml:space="preserve">Governance Activity</w:t>
            </w:r>
          </w:p>
        </w:tc>
        <w:tc>
          <w:tcPr>
            <w:tcW w:type="dxa" w:w="2100"/>
            <w:shd w:fill="12213B" w:val="clear"/>
          </w:tcPr>
          <w:p>
            <w:r>
              <w:rPr>
                <w:b/>
                <w:bCs/>
                <w:color w:val="FFFFFF"/>
              </w:rPr>
              <w:t xml:space="preserve">Responsible</w:t>
            </w:r>
          </w:p>
        </w:tc>
        <w:tc>
          <w:tcPr>
            <w:tcW w:type="dxa" w:w="2100"/>
            <w:shd w:fill="12213B" w:val="clear"/>
          </w:tcPr>
          <w:p>
            <w:r>
              <w:rPr>
                <w:b/>
                <w:bCs/>
                <w:color w:val="FFFFFF"/>
              </w:rPr>
              <w:t xml:space="preserve">Accountable</w:t>
            </w:r>
          </w:p>
        </w:tc>
        <w:tc>
          <w:tcPr>
            <w:tcW w:type="dxa" w:w="1550"/>
            <w:shd w:fill="12213B" w:val="clear"/>
          </w:tcPr>
          <w:p>
            <w:r>
              <w:rPr>
                <w:b/>
                <w:bCs/>
                <w:color w:val="FFFFFF"/>
              </w:rPr>
              <w:t xml:space="preserve">Consulted</w:t>
            </w:r>
          </w:p>
        </w:tc>
        <w:tc>
          <w:tcPr>
            <w:tcW w:type="dxa" w:w="1150"/>
            <w:shd w:fill="12213B" w:val="clear"/>
          </w:tcPr>
          <w:p>
            <w:r>
              <w:rPr>
                <w:b/>
                <w:bCs/>
                <w:color w:val="FFFFFF"/>
              </w:rPr>
              <w:t xml:space="preserve">Informed</w:t>
            </w:r>
          </w:p>
        </w:tc>
      </w:tr>
      <w:tr>
        <w:tc>
          <w:tcPr>
            <w:tcW w:type="dxa" w:w="2450"/>
          </w:tcPr>
          <w:p>
            <w:r>
              <w:rPr>
                <w:b w:val="false"/>
                <w:bCs w:val="false"/>
              </w:rPr>
              <w:t xml:space="preserve">Approve Tier 2 Change Request</w:t>
            </w:r>
          </w:p>
        </w:tc>
        <w:tc>
          <w:tcPr>
            <w:tcW w:type="dxa" w:w="2100"/>
          </w:tcPr>
          <w:p>
            <w:r>
              <w:rPr>
                <w:b w:val="false"/>
                <w:bCs w:val="false"/>
              </w:rPr>
              <w:t xml:space="preserve">PMO Director</w:t>
            </w:r>
          </w:p>
        </w:tc>
        <w:tc>
          <w:tcPr>
            <w:tcW w:type="dxa" w:w="2100"/>
          </w:tcPr>
          <w:p>
            <w:r>
              <w:rPr>
                <w:b w:val="false"/>
                <w:bCs w:val="false"/>
              </w:rPr>
              <w:t xml:space="preserve">Steering Committee</w:t>
            </w:r>
          </w:p>
        </w:tc>
        <w:tc>
          <w:tcPr>
            <w:tcW w:type="dxa" w:w="1550"/>
          </w:tcPr>
          <w:p>
            <w:r>
              <w:rPr>
                <w:b w:val="false"/>
                <w:bCs w:val="false"/>
              </w:rPr>
              <w:t xml:space="preserve">PM, affected Leads</w:t>
            </w:r>
          </w:p>
        </w:tc>
        <w:tc>
          <w:tcPr>
            <w:tcW w:type="dxa" w:w="1150"/>
          </w:tcPr>
          <w:p>
            <w:r>
              <w:rPr>
                <w:b w:val="false"/>
                <w:bCs w:val="false"/>
              </w:rPr>
              <w:t xml:space="preserve">All Stakeholders</w:t>
            </w:r>
          </w:p>
        </w:tc>
      </w:tr>
      <w:tr>
        <w:tc>
          <w:tcPr>
            <w:tcW w:type="dxa" w:w="2450"/>
          </w:tcPr>
          <w:p>
            <w:r>
              <w:rPr>
                <w:b w:val="false"/>
                <w:bCs w:val="false"/>
              </w:rPr>
              <w:t xml:space="preserve">Approve Tier 3 Change Request</w:t>
            </w:r>
          </w:p>
        </w:tc>
        <w:tc>
          <w:tcPr>
            <w:tcW w:type="dxa" w:w="2100"/>
          </w:tcPr>
          <w:p>
            <w:r>
              <w:rPr>
                <w:b w:val="false"/>
                <w:bCs w:val="false"/>
              </w:rPr>
              <w:t xml:space="preserve">PMO Director</w:t>
            </w:r>
          </w:p>
        </w:tc>
        <w:tc>
          <w:tcPr>
            <w:tcW w:type="dxa" w:w="2100"/>
          </w:tcPr>
          <w:p>
            <w:r>
              <w:rPr>
                <w:b w:val="false"/>
                <w:bCs w:val="false"/>
              </w:rPr>
              <w:t xml:space="preserve">Executive Sponsor</w:t>
            </w:r>
          </w:p>
        </w:tc>
        <w:tc>
          <w:tcPr>
            <w:tcW w:type="dxa" w:w="1550"/>
          </w:tcPr>
          <w:p>
            <w:r>
              <w:rPr>
                <w:b w:val="false"/>
                <w:bCs w:val="false"/>
              </w:rPr>
              <w:t xml:space="preserve">Steering Committee</w:t>
            </w:r>
          </w:p>
        </w:tc>
        <w:tc>
          <w:tcPr>
            <w:tcW w:type="dxa" w:w="1150"/>
          </w:tcPr>
          <w:p>
            <w:r>
              <w:rPr>
                <w:b w:val="false"/>
                <w:bCs w:val="false"/>
              </w:rPr>
              <w:t xml:space="preserve">All Stakeholders</w:t>
            </w:r>
          </w:p>
        </w:tc>
      </w:tr>
      <w:tr>
        <w:tc>
          <w:tcPr>
            <w:tcW w:type="dxa" w:w="2450"/>
          </w:tcPr>
          <w:p>
            <w:r>
              <w:rPr>
                <w:b w:val="false"/>
                <w:bCs w:val="false"/>
              </w:rPr>
              <w:t xml:space="preserve">Accept High-Scored Risk (≥7)</w:t>
            </w:r>
          </w:p>
        </w:tc>
        <w:tc>
          <w:tcPr>
            <w:tcW w:type="dxa" w:w="2100"/>
          </w:tcPr>
          <w:p>
            <w:r>
              <w:rPr>
                <w:b w:val="false"/>
                <w:bCs w:val="false"/>
              </w:rPr>
              <w:t xml:space="preserve">Program Manager</w:t>
            </w:r>
          </w:p>
        </w:tc>
        <w:tc>
          <w:tcPr>
            <w:tcW w:type="dxa" w:w="2100"/>
          </w:tcPr>
          <w:p>
            <w:r>
              <w:rPr>
                <w:b w:val="false"/>
                <w:bCs w:val="false"/>
              </w:rPr>
              <w:t xml:space="preserve">Steering Committee</w:t>
            </w:r>
          </w:p>
        </w:tc>
        <w:tc>
          <w:tcPr>
            <w:tcW w:type="dxa" w:w="1550"/>
          </w:tcPr>
          <w:p>
            <w:r>
              <w:rPr>
                <w:b w:val="false"/>
                <w:bCs w:val="false"/>
              </w:rPr>
              <w:t xml:space="preserve">Risk Owner, PMO</w:t>
            </w:r>
          </w:p>
        </w:tc>
        <w:tc>
          <w:tcPr>
            <w:tcW w:type="dxa" w:w="1150"/>
          </w:tcPr>
          <w:p>
            <w:r>
              <w:rPr>
                <w:b w:val="false"/>
                <w:bCs w:val="false"/>
              </w:rPr>
              <w:t xml:space="preserve">Executive Sponsor</w:t>
            </w:r>
          </w:p>
        </w:tc>
      </w:tr>
      <w:tr>
        <w:tc>
          <w:tcPr>
            <w:tcW w:type="dxa" w:w="2450"/>
          </w:tcPr>
          <w:p>
            <w:r>
              <w:rPr>
                <w:b w:val="false"/>
                <w:bCs w:val="false"/>
              </w:rPr>
              <w:t xml:space="preserve">Authorize SOX Exception</w:t>
            </w:r>
          </w:p>
        </w:tc>
        <w:tc>
          <w:tcPr>
            <w:tcW w:type="dxa" w:w="2100"/>
          </w:tcPr>
          <w:p>
            <w:r>
              <w:rPr>
                <w:b w:val="false"/>
                <w:bCs w:val="false"/>
              </w:rPr>
              <w:t xml:space="preserve">Chief Compliance Officer</w:t>
            </w:r>
          </w:p>
        </w:tc>
        <w:tc>
          <w:tcPr>
            <w:tcW w:type="dxa" w:w="2100"/>
          </w:tcPr>
          <w:p>
            <w:r>
              <w:rPr>
                <w:b w:val="false"/>
                <w:bCs w:val="false"/>
              </w:rPr>
              <w:t xml:space="preserve">Executive Sponsor</w:t>
            </w:r>
          </w:p>
        </w:tc>
        <w:tc>
          <w:tcPr>
            <w:tcW w:type="dxa" w:w="1550"/>
          </w:tcPr>
          <w:p>
            <w:r>
              <w:rPr>
                <w:b w:val="false"/>
                <w:bCs w:val="false"/>
              </w:rPr>
              <w:t xml:space="preserve">Steering Committee</w:t>
            </w:r>
          </w:p>
        </w:tc>
        <w:tc>
          <w:tcPr>
            <w:tcW w:type="dxa" w:w="1150"/>
          </w:tcPr>
          <w:p>
            <w:r>
              <w:rPr>
                <w:b w:val="false"/>
                <w:bCs w:val="false"/>
              </w:rPr>
              <w:t xml:space="preserve">Program Manager</w:t>
            </w:r>
          </w:p>
        </w:tc>
      </w:tr>
      <w:tr>
        <w:tc>
          <w:tcPr>
            <w:tcW w:type="dxa" w:w="2450"/>
          </w:tcPr>
          <w:p>
            <w:r>
              <w:rPr>
                <w:b w:val="false"/>
                <w:bCs w:val="false"/>
              </w:rPr>
              <w:t xml:space="preserve">Approve Vendor SOW Change</w:t>
            </w:r>
          </w:p>
        </w:tc>
        <w:tc>
          <w:tcPr>
            <w:tcW w:type="dxa" w:w="2100"/>
          </w:tcPr>
          <w:p>
            <w:r>
              <w:rPr>
                <w:b w:val="false"/>
                <w:bCs w:val="false"/>
              </w:rPr>
              <w:t xml:space="preserve">Vendor/Procurement Mgr</w:t>
            </w:r>
          </w:p>
        </w:tc>
        <w:tc>
          <w:tcPr>
            <w:tcW w:type="dxa" w:w="2100"/>
          </w:tcPr>
          <w:p>
            <w:r>
              <w:rPr>
                <w:b w:val="false"/>
                <w:bCs w:val="false"/>
              </w:rPr>
              <w:t xml:space="preserve">Steering Cmte / PM</w:t>
            </w:r>
          </w:p>
        </w:tc>
        <w:tc>
          <w:tcPr>
            <w:tcW w:type="dxa" w:w="1550"/>
          </w:tcPr>
          <w:p>
            <w:r>
              <w:rPr>
                <w:b w:val="false"/>
                <w:bCs w:val="false"/>
              </w:rPr>
              <w:t xml:space="preserve">PMO Director</w:t>
            </w:r>
          </w:p>
        </w:tc>
        <w:tc>
          <w:tcPr>
            <w:tcW w:type="dxa" w:w="1150"/>
          </w:tcPr>
          <w:p>
            <w:r>
              <w:rPr>
                <w:b w:val="false"/>
                <w:bCs w:val="false"/>
              </w:rPr>
              <w:t xml:space="preserve">Executive Sponsor</w:t>
            </w:r>
          </w:p>
        </w:tc>
      </w:tr>
      <w:tr>
        <w:tc>
          <w:tcPr>
            <w:tcW w:type="dxa" w:w="2450"/>
          </w:tcPr>
          <w:p>
            <w:r>
              <w:rPr>
                <w:b w:val="false"/>
                <w:bCs w:val="false"/>
              </w:rPr>
              <w:t xml:space="preserve">Quarterly Governance Review</w:t>
            </w:r>
          </w:p>
        </w:tc>
        <w:tc>
          <w:tcPr>
            <w:tcW w:type="dxa" w:w="2100"/>
          </w:tcPr>
          <w:p>
            <w:r>
              <w:rPr>
                <w:b w:val="false"/>
                <w:bCs w:val="false"/>
              </w:rPr>
              <w:t xml:space="preserve">PMO Director</w:t>
            </w:r>
          </w:p>
        </w:tc>
        <w:tc>
          <w:tcPr>
            <w:tcW w:type="dxa" w:w="2100"/>
          </w:tcPr>
          <w:p>
            <w:r>
              <w:rPr>
                <w:b w:val="false"/>
                <w:bCs w:val="false"/>
              </w:rPr>
              <w:t xml:space="preserve">Steering Committee</w:t>
            </w:r>
          </w:p>
        </w:tc>
        <w:tc>
          <w:tcPr>
            <w:tcW w:type="dxa" w:w="1550"/>
          </w:tcPr>
          <w:p>
            <w:r>
              <w:rPr>
                <w:b w:val="false"/>
                <w:bCs w:val="false"/>
              </w:rPr>
              <w:t xml:space="preserve">Program Manager</w:t>
            </w:r>
          </w:p>
        </w:tc>
        <w:tc>
          <w:tcPr>
            <w:tcW w:type="dxa" w:w="1150"/>
          </w:tcPr>
          <w:p>
            <w:r>
              <w:rPr>
                <w:b w:val="false"/>
                <w:bCs w:val="false"/>
              </w:rPr>
              <w:t xml:space="preserve">Executive Sponsor</w:t>
            </w:r>
          </w:p>
        </w:tc>
      </w:tr>
    </w:tbl>
    <w:p>
      <w:pPr>
        <w:pStyle w:val="Heading2"/>
        <w:spacing w:after="150" w:before="300"/>
      </w:pPr>
      <w:r>
        <w:t xml:space="preserve">4. Escalation Process</w:t>
      </w:r>
    </w:p>
    <w:tbl>
      <w:tblPr>
        <w:tblW w:type="dxa" w:w="10350"/>
        <w:tblBorders>
          <w:top w:val="single" w:color="auto" w:sz="4"/>
          <w:left w:val="single" w:color="auto" w:sz="4"/>
          <w:bottom w:val="single" w:color="auto" w:sz="4"/>
          <w:right w:val="single" w:color="auto" w:sz="4"/>
          <w:insideH w:val="single" w:color="auto" w:sz="4"/>
          <w:insideV w:val="single" w:color="auto" w:sz="4"/>
        </w:tblBorders>
      </w:tblPr>
      <w:tblGrid>
        <w:gridCol w:w="2200"/>
        <w:gridCol w:w="2900"/>
        <w:gridCol w:w="3200"/>
        <w:gridCol w:w="2050"/>
      </w:tblGrid>
      <w:tr>
        <w:tc>
          <w:tcPr>
            <w:tcW w:type="dxa" w:w="2200"/>
            <w:shd w:fill="12213B" w:val="clear"/>
          </w:tcPr>
          <w:p>
            <w:r>
              <w:rPr>
                <w:b/>
                <w:bCs/>
                <w:color w:val="FFFFFF"/>
              </w:rPr>
              <w:t xml:space="preserve">Trigger</w:t>
            </w:r>
          </w:p>
        </w:tc>
        <w:tc>
          <w:tcPr>
            <w:tcW w:type="dxa" w:w="2900"/>
            <w:shd w:fill="12213B" w:val="clear"/>
          </w:tcPr>
          <w:p>
            <w:r>
              <w:rPr>
                <w:b/>
                <w:bCs/>
                <w:color w:val="FFFFFF"/>
              </w:rPr>
              <w:t xml:space="preserve">Threshold</w:t>
            </w:r>
          </w:p>
        </w:tc>
        <w:tc>
          <w:tcPr>
            <w:tcW w:type="dxa" w:w="3200"/>
            <w:shd w:fill="12213B" w:val="clear"/>
          </w:tcPr>
          <w:p>
            <w:r>
              <w:rPr>
                <w:b/>
                <w:bCs/>
                <w:color w:val="FFFFFF"/>
              </w:rPr>
              <w:t xml:space="preserve">Escalates To</w:t>
            </w:r>
          </w:p>
        </w:tc>
        <w:tc>
          <w:tcPr>
            <w:tcW w:type="dxa" w:w="2050"/>
            <w:shd w:fill="12213B" w:val="clear"/>
          </w:tcPr>
          <w:p>
            <w:r>
              <w:rPr>
                <w:b/>
                <w:bCs/>
                <w:color w:val="FFFFFF"/>
              </w:rPr>
              <w:t xml:space="preserve">Timeframe</w:t>
            </w:r>
          </w:p>
        </w:tc>
      </w:tr>
      <w:tr>
        <w:tc>
          <w:tcPr>
            <w:tcW w:type="dxa" w:w="2200"/>
          </w:tcPr>
          <w:p>
            <w:r>
              <w:rPr>
                <w:b w:val="false"/>
                <w:bCs w:val="false"/>
              </w:rPr>
              <w:t xml:space="preserve">Cost variance</w:t>
            </w:r>
          </w:p>
        </w:tc>
        <w:tc>
          <w:tcPr>
            <w:tcW w:type="dxa" w:w="2900"/>
          </w:tcPr>
          <w:p>
            <w:r>
              <w:rPr>
                <w:b w:val="false"/>
                <w:bCs w:val="false"/>
              </w:rPr>
              <w:t xml:space="preserve">&gt;50% of contingency drawn</w:t>
            </w:r>
          </w:p>
        </w:tc>
        <w:tc>
          <w:tcPr>
            <w:tcW w:type="dxa" w:w="3200"/>
          </w:tcPr>
          <w:p>
            <w:r>
              <w:rPr>
                <w:b w:val="false"/>
                <w:bCs w:val="false"/>
              </w:rPr>
              <w:t xml:space="preserve">Steering Committee (notify)</w:t>
            </w:r>
          </w:p>
        </w:tc>
        <w:tc>
          <w:tcPr>
            <w:tcW w:type="dxa" w:w="2050"/>
          </w:tcPr>
          <w:p>
            <w:r>
              <w:rPr>
                <w:b w:val="false"/>
                <w:bCs w:val="false"/>
              </w:rPr>
              <w:t xml:space="preserve">Next reporting cycle</w:t>
            </w:r>
          </w:p>
        </w:tc>
      </w:tr>
      <w:tr>
        <w:tc>
          <w:tcPr>
            <w:tcW w:type="dxa" w:w="2200"/>
          </w:tcPr>
          <w:p>
            <w:r>
              <w:rPr>
                <w:b w:val="false"/>
                <w:bCs w:val="false"/>
              </w:rPr>
              <w:t xml:space="preserve">Cost variance</w:t>
            </w:r>
          </w:p>
        </w:tc>
        <w:tc>
          <w:tcPr>
            <w:tcW w:type="dxa" w:w="2900"/>
          </w:tcPr>
          <w:p>
            <w:r>
              <w:rPr>
                <w:b w:val="false"/>
                <w:bCs w:val="false"/>
              </w:rPr>
              <w:t xml:space="preserve">Exceeds total contingency</w:t>
            </w:r>
          </w:p>
        </w:tc>
        <w:tc>
          <w:tcPr>
            <w:tcW w:type="dxa" w:w="3200"/>
          </w:tcPr>
          <w:p>
            <w:r>
              <w:rPr>
                <w:b w:val="false"/>
                <w:bCs w:val="false"/>
              </w:rPr>
              <w:t xml:space="preserve">Steering Committee (approval)</w:t>
            </w:r>
          </w:p>
        </w:tc>
        <w:tc>
          <w:tcPr>
            <w:tcW w:type="dxa" w:w="2050"/>
          </w:tcPr>
          <w:p>
            <w:r>
              <w:rPr>
                <w:b w:val="false"/>
                <w:bCs w:val="false"/>
              </w:rPr>
              <w:t xml:space="preserve">5 business days</w:t>
            </w:r>
          </w:p>
        </w:tc>
      </w:tr>
      <w:tr>
        <w:tc>
          <w:tcPr>
            <w:tcW w:type="dxa" w:w="2200"/>
          </w:tcPr>
          <w:p>
            <w:r>
              <w:rPr>
                <w:b w:val="false"/>
                <w:bCs w:val="false"/>
              </w:rPr>
              <w:t xml:space="preserve">Schedule slip</w:t>
            </w:r>
          </w:p>
        </w:tc>
        <w:tc>
          <w:tcPr>
            <w:tcW w:type="dxa" w:w="2900"/>
          </w:tcPr>
          <w:p>
            <w:r>
              <w:rPr>
                <w:b w:val="false"/>
                <w:bCs w:val="false"/>
              </w:rPr>
              <w:t xml:space="preserve">Major milestone at risk</w:t>
            </w:r>
          </w:p>
        </w:tc>
        <w:tc>
          <w:tcPr>
            <w:tcW w:type="dxa" w:w="3200"/>
          </w:tcPr>
          <w:p>
            <w:r>
              <w:rPr>
                <w:b w:val="false"/>
                <w:bCs w:val="false"/>
              </w:rPr>
              <w:t xml:space="preserve">Steering Committee (notify)</w:t>
            </w:r>
          </w:p>
        </w:tc>
        <w:tc>
          <w:tcPr>
            <w:tcW w:type="dxa" w:w="2050"/>
          </w:tcPr>
          <w:p>
            <w:r>
              <w:rPr>
                <w:b w:val="false"/>
                <w:bCs w:val="false"/>
              </w:rPr>
              <w:t xml:space="preserve">5 business days</w:t>
            </w:r>
          </w:p>
        </w:tc>
      </w:tr>
      <w:tr>
        <w:tc>
          <w:tcPr>
            <w:tcW w:type="dxa" w:w="2200"/>
          </w:tcPr>
          <w:p>
            <w:r>
              <w:rPr>
                <w:b w:val="false"/>
                <w:bCs w:val="false"/>
              </w:rPr>
              <w:t xml:space="preserve">Schedule slip</w:t>
            </w:r>
          </w:p>
        </w:tc>
        <w:tc>
          <w:tcPr>
            <w:tcW w:type="dxa" w:w="2900"/>
          </w:tcPr>
          <w:p>
            <w:r>
              <w:rPr>
                <w:b w:val="false"/>
                <w:bCs w:val="false"/>
              </w:rPr>
              <w:t xml:space="preserve">&gt;10 business days</w:t>
            </w:r>
          </w:p>
        </w:tc>
        <w:tc>
          <w:tcPr>
            <w:tcW w:type="dxa" w:w="3200"/>
          </w:tcPr>
          <w:p>
            <w:r>
              <w:rPr>
                <w:b w:val="false"/>
                <w:bCs w:val="false"/>
              </w:rPr>
              <w:t xml:space="preserve">Steering Committee (re-baseline)</w:t>
            </w:r>
          </w:p>
        </w:tc>
        <w:tc>
          <w:tcPr>
            <w:tcW w:type="dxa" w:w="2050"/>
          </w:tcPr>
          <w:p>
            <w:r>
              <w:rPr>
                <w:b w:val="false"/>
                <w:bCs w:val="false"/>
              </w:rPr>
              <w:t xml:space="preserve">10 business days</w:t>
            </w:r>
          </w:p>
        </w:tc>
      </w:tr>
      <w:tr>
        <w:tc>
          <w:tcPr>
            <w:tcW w:type="dxa" w:w="2200"/>
          </w:tcPr>
          <w:p>
            <w:r>
              <w:rPr>
                <w:b w:val="false"/>
                <w:bCs w:val="false"/>
              </w:rPr>
              <w:t xml:space="preserve">Risk score</w:t>
            </w:r>
          </w:p>
        </w:tc>
        <w:tc>
          <w:tcPr>
            <w:tcW w:type="dxa" w:w="2900"/>
          </w:tcPr>
          <w:p>
            <w:r>
              <w:rPr>
                <w:b w:val="false"/>
                <w:bCs w:val="false"/>
              </w:rPr>
              <w:t xml:space="preserve">RAIDD score ≥7 (High/High)</w:t>
            </w:r>
          </w:p>
        </w:tc>
        <w:tc>
          <w:tcPr>
            <w:tcW w:type="dxa" w:w="3200"/>
          </w:tcPr>
          <w:p>
            <w:r>
              <w:rPr>
                <w:b w:val="false"/>
                <w:bCs w:val="false"/>
              </w:rPr>
              <w:t xml:space="preserve">Steering Committee</w:t>
            </w:r>
          </w:p>
        </w:tc>
        <w:tc>
          <w:tcPr>
            <w:tcW w:type="dxa" w:w="2050"/>
          </w:tcPr>
          <w:p>
            <w:r>
              <w:rPr>
                <w:b w:val="false"/>
                <w:bCs w:val="false"/>
              </w:rPr>
              <w:t xml:space="preserve">Next reporting cycle</w:t>
            </w:r>
          </w:p>
        </w:tc>
      </w:tr>
      <w:tr>
        <w:tc>
          <w:tcPr>
            <w:tcW w:type="dxa" w:w="2200"/>
          </w:tcPr>
          <w:p>
            <w:r>
              <w:rPr>
                <w:b w:val="false"/>
                <w:bCs w:val="false"/>
              </w:rPr>
              <w:t xml:space="preserve">Compliance finding</w:t>
            </w:r>
          </w:p>
        </w:tc>
        <w:tc>
          <w:tcPr>
            <w:tcW w:type="dxa" w:w="2900"/>
          </w:tcPr>
          <w:p>
            <w:r>
              <w:rPr>
                <w:b w:val="false"/>
                <w:bCs w:val="false"/>
              </w:rPr>
              <w:t xml:space="preserve">Any SOX control finding</w:t>
            </w:r>
          </w:p>
        </w:tc>
        <w:tc>
          <w:tcPr>
            <w:tcW w:type="dxa" w:w="3200"/>
          </w:tcPr>
          <w:p>
            <w:r>
              <w:rPr>
                <w:b w:val="false"/>
                <w:bCs w:val="false"/>
              </w:rPr>
              <w:t xml:space="preserve">Compliance Officer + Steering Committee</w:t>
            </w:r>
          </w:p>
        </w:tc>
        <w:tc>
          <w:tcPr>
            <w:tcW w:type="dxa" w:w="2050"/>
          </w:tcPr>
          <w:p>
            <w:r>
              <w:rPr>
                <w:b w:val="false"/>
                <w:bCs w:val="false"/>
              </w:rPr>
              <w:t xml:space="preserve">2 business days</w:t>
            </w:r>
          </w:p>
        </w:tc>
      </w:tr>
    </w:tbl>
    <w:p>
      <w:pPr>
        <w:spacing w:after="120"/>
      </w:pPr>
      <w:r>
        <w:t xml:space="preserve">Standard escalation path: Team Member → Workstream Lead → Program Manager → PMO Director / Steering Committee → Executive Sponsor. Issues unresolved at the PM level within 5 business days (2 for Critical/High items) escalate automatically.</w:t>
      </w:r>
    </w:p>
    <w:p>
      <w:pPr>
        <w:pStyle w:val="Heading2"/>
        <w:spacing w:after="150" w:before="300"/>
      </w:pPr>
      <w:r>
        <w:t xml:space="preserve">5. Meeting Cadence &amp; Reporting</w:t>
      </w:r>
    </w:p>
    <w:tbl>
      <w:tblPr>
        <w:tblW w:type="dxa" w:w="10350"/>
        <w:tblBorders>
          <w:top w:val="single" w:color="auto" w:sz="4"/>
          <w:left w:val="single" w:color="auto" w:sz="4"/>
          <w:bottom w:val="single" w:color="auto" w:sz="4"/>
          <w:right w:val="single" w:color="auto" w:sz="4"/>
          <w:insideH w:val="single" w:color="auto" w:sz="4"/>
          <w:insideV w:val="single" w:color="auto" w:sz="4"/>
        </w:tblBorders>
      </w:tblPr>
      <w:tblGrid>
        <w:gridCol w:w="1600"/>
        <w:gridCol w:w="3400"/>
        <w:gridCol w:w="5350"/>
      </w:tblGrid>
      <w:tr>
        <w:tc>
          <w:tcPr>
            <w:tcW w:type="dxa" w:w="1600"/>
            <w:shd w:fill="12213B" w:val="clear"/>
          </w:tcPr>
          <w:p>
            <w:r>
              <w:rPr>
                <w:b/>
                <w:bCs/>
                <w:color w:val="FFFFFF"/>
              </w:rPr>
              <w:t xml:space="preserve">Cadence</w:t>
            </w:r>
          </w:p>
        </w:tc>
        <w:tc>
          <w:tcPr>
            <w:tcW w:type="dxa" w:w="3400"/>
            <w:shd w:fill="12213B" w:val="clear"/>
          </w:tcPr>
          <w:p>
            <w:r>
              <w:rPr>
                <w:b/>
                <w:bCs/>
                <w:color w:val="FFFFFF"/>
              </w:rPr>
              <w:t xml:space="preserve">Forum</w:t>
            </w:r>
          </w:p>
        </w:tc>
        <w:tc>
          <w:tcPr>
            <w:tcW w:type="dxa" w:w="5350"/>
            <w:shd w:fill="12213B" w:val="clear"/>
          </w:tcPr>
          <w:p>
            <w:r>
              <w:rPr>
                <w:b/>
                <w:bCs/>
                <w:color w:val="FFFFFF"/>
              </w:rPr>
              <w:t xml:space="preserve">Purpose</w:t>
            </w:r>
          </w:p>
        </w:tc>
      </w:tr>
      <w:tr>
        <w:tc>
          <w:tcPr>
            <w:tcW w:type="dxa" w:w="1600"/>
          </w:tcPr>
          <w:p>
            <w:r>
              <w:rPr>
                <w:b w:val="false"/>
                <w:bCs w:val="false"/>
              </w:rPr>
              <w:t xml:space="preserve">Weekly</w:t>
            </w:r>
          </w:p>
        </w:tc>
        <w:tc>
          <w:tcPr>
            <w:tcW w:type="dxa" w:w="3400"/>
          </w:tcPr>
          <w:p>
            <w:r>
              <w:rPr>
                <w:b w:val="false"/>
                <w:bCs w:val="false"/>
              </w:rPr>
              <w:t xml:space="preserve">PM + Workstream Leads sync</w:t>
            </w:r>
          </w:p>
        </w:tc>
        <w:tc>
          <w:tcPr>
            <w:tcW w:type="dxa" w:w="5350"/>
          </w:tcPr>
          <w:p>
            <w:r>
              <w:rPr>
                <w:b w:val="false"/>
                <w:bCs w:val="false"/>
              </w:rPr>
              <w:t xml:space="preserve">Informal status alignment</w:t>
            </w:r>
          </w:p>
        </w:tc>
      </w:tr>
      <w:tr>
        <w:tc>
          <w:tcPr>
            <w:tcW w:type="dxa" w:w="1600"/>
          </w:tcPr>
          <w:p>
            <w:r>
              <w:rPr>
                <w:b w:val="false"/>
                <w:bCs w:val="false"/>
              </w:rPr>
              <w:t xml:space="preserve">Weekly</w:t>
            </w:r>
          </w:p>
        </w:tc>
        <w:tc>
          <w:tcPr>
            <w:tcW w:type="dxa" w:w="3400"/>
          </w:tcPr>
          <w:p>
            <w:r>
              <w:rPr>
                <w:b w:val="false"/>
                <w:bCs w:val="false"/>
              </w:rPr>
              <w:t xml:space="preserve">Status Report to Steering Committee</w:t>
            </w:r>
          </w:p>
        </w:tc>
        <w:tc>
          <w:tcPr>
            <w:tcW w:type="dxa" w:w="5350"/>
          </w:tcPr>
          <w:p>
            <w:r>
              <w:rPr>
                <w:b w:val="false"/>
                <w:bCs w:val="false"/>
              </w:rPr>
              <w:t xml:space="preserve">Written progress, risk, and budget update</w:t>
            </w:r>
          </w:p>
        </w:tc>
      </w:tr>
      <w:tr>
        <w:tc>
          <w:tcPr>
            <w:tcW w:type="dxa" w:w="1600"/>
          </w:tcPr>
          <w:p>
            <w:r>
              <w:rPr>
                <w:b w:val="false"/>
                <w:bCs w:val="false"/>
              </w:rPr>
              <w:t xml:space="preserve">Monthly</w:t>
            </w:r>
          </w:p>
        </w:tc>
        <w:tc>
          <w:tcPr>
            <w:tcW w:type="dxa" w:w="3400"/>
          </w:tcPr>
          <w:p>
            <w:r>
              <w:rPr>
                <w:b w:val="false"/>
                <w:bCs w:val="false"/>
              </w:rPr>
              <w:t xml:space="preserve">Steering Committee meeting</w:t>
            </w:r>
          </w:p>
        </w:tc>
        <w:tc>
          <w:tcPr>
            <w:tcW w:type="dxa" w:w="5350"/>
          </w:tcPr>
          <w:p>
            <w:r>
              <w:rPr>
                <w:b w:val="false"/>
                <w:bCs w:val="false"/>
              </w:rPr>
              <w:t xml:space="preserve">Formal review; decisions voted on; minutes recorded</w:t>
            </w:r>
          </w:p>
        </w:tc>
      </w:tr>
      <w:tr>
        <w:tc>
          <w:tcPr>
            <w:tcW w:type="dxa" w:w="1600"/>
          </w:tcPr>
          <w:p>
            <w:r>
              <w:rPr>
                <w:b w:val="false"/>
                <w:bCs w:val="false"/>
              </w:rPr>
              <w:t xml:space="preserve">Quarterly</w:t>
            </w:r>
          </w:p>
        </w:tc>
        <w:tc>
          <w:tcPr>
            <w:tcW w:type="dxa" w:w="3400"/>
          </w:tcPr>
          <w:p>
            <w:r>
              <w:rPr>
                <w:b w:val="false"/>
                <w:bCs w:val="false"/>
              </w:rPr>
              <w:t xml:space="preserve">Governance framework review</w:t>
            </w:r>
          </w:p>
        </w:tc>
        <w:tc>
          <w:tcPr>
            <w:tcW w:type="dxa" w:w="5350"/>
          </w:tcPr>
          <w:p>
            <w:r>
              <w:rPr>
                <w:b w:val="false"/>
                <w:bCs w:val="false"/>
              </w:rPr>
              <w:t xml:space="preserve">See Section 13</w:t>
            </w:r>
          </w:p>
        </w:tc>
      </w:tr>
      <w:tr>
        <w:tc>
          <w:tcPr>
            <w:tcW w:type="dxa" w:w="1600"/>
          </w:tcPr>
          <w:p>
            <w:r>
              <w:rPr>
                <w:b w:val="false"/>
                <w:bCs w:val="false"/>
              </w:rPr>
              <w:t xml:space="preserve">Ad hoc</w:t>
            </w:r>
          </w:p>
        </w:tc>
        <w:tc>
          <w:tcPr>
            <w:tcW w:type="dxa" w:w="3400"/>
          </w:tcPr>
          <w:p>
            <w:r>
              <w:rPr>
                <w:b w:val="false"/>
                <w:bCs w:val="false"/>
              </w:rPr>
              <w:t xml:space="preserve">Change Control Board</w:t>
            </w:r>
          </w:p>
        </w:tc>
        <w:tc>
          <w:tcPr>
            <w:tcW w:type="dxa" w:w="5350"/>
          </w:tcPr>
          <w:p>
            <w:r>
              <w:rPr>
                <w:b w:val="false"/>
                <w:bCs w:val="false"/>
              </w:rPr>
              <w:t xml:space="preserve">Convened for any Tier 2/3 change request</w:t>
            </w:r>
          </w:p>
        </w:tc>
      </w:tr>
    </w:tbl>
    <w:p>
      <w:pPr>
        <w:pStyle w:val="Heading2"/>
        <w:spacing w:after="150" w:before="300"/>
      </w:pPr>
      <w:r>
        <w:t xml:space="preserve">6. Change Control Governance</w:t>
      </w:r>
    </w:p>
    <w:p>
      <w:pPr>
        <w:spacing w:after="120"/>
      </w:pPr>
      <w:r>
        <w:t xml:space="preserve">All formal changes to scope, schedule, or cost baselines follow the tiered authority model in Section 3, formalized through the program's Change Control Log. This document is the authoritative source for why those tiers exist; the Change Control Log is the operational record of every request evaluated against them.</w:t>
      </w:r>
    </w:p>
    <w:p>
      <w:pPr>
        <w:pStyle w:val="Heading2"/>
        <w:spacing w:after="150" w:before="300"/>
      </w:pPr>
      <w:r>
        <w:t xml:space="preserve">7. Vendor Governance</w:t>
      </w:r>
    </w:p>
    <w:p>
      <w:pPr>
        <w:spacing w:after="120"/>
      </w:pPr>
      <w:r>
        <w:t xml:space="preserve">The program carries two major vendor contracts — Platform Upgrade ($1,850,000) and Integration Middleware ($620,000) — combined, roughly 35% of the base budget. This section defines vendor-specific decision authority, distinct from the general Change Control tiers in Section 6.</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3200"/>
        <w:gridCol w:w="6150"/>
      </w:tblGrid>
      <w:tr>
        <w:tc>
          <w:tcPr>
            <w:tcW w:type="dxa" w:w="3200"/>
            <w:shd w:fill="12213B" w:val="clear"/>
          </w:tcPr>
          <w:p>
            <w:r>
              <w:rPr>
                <w:b/>
                <w:bCs/>
                <w:color w:val="FFFFFF"/>
              </w:rPr>
              <w:t xml:space="preserve">Activity</w:t>
            </w:r>
          </w:p>
        </w:tc>
        <w:tc>
          <w:tcPr>
            <w:tcW w:type="dxa" w:w="6150"/>
            <w:shd w:fill="12213B" w:val="clear"/>
          </w:tcPr>
          <w:p>
            <w:r>
              <w:rPr>
                <w:b/>
                <w:bCs/>
                <w:color w:val="FFFFFF"/>
              </w:rPr>
              <w:t xml:space="preserve">Authority</w:t>
            </w:r>
          </w:p>
        </w:tc>
      </w:tr>
      <w:tr>
        <w:tc>
          <w:tcPr>
            <w:tcW w:type="dxa" w:w="3200"/>
          </w:tcPr>
          <w:p>
            <w:r>
              <w:rPr>
                <w:b w:val="false"/>
                <w:bCs w:val="false"/>
              </w:rPr>
              <w:t xml:space="preserve">Vendor SOW change, no cost/schedule impact</w:t>
            </w:r>
          </w:p>
        </w:tc>
        <w:tc>
          <w:tcPr>
            <w:tcW w:type="dxa" w:w="6150"/>
          </w:tcPr>
          <w:p>
            <w:r>
              <w:rPr>
                <w:b w:val="false"/>
                <w:bCs w:val="false"/>
              </w:rPr>
              <w:t xml:space="preserve">Vendor/Procurement Manager, informational to PM</w:t>
            </w:r>
          </w:p>
        </w:tc>
      </w:tr>
      <w:tr>
        <w:tc>
          <w:tcPr>
            <w:tcW w:type="dxa" w:w="3200"/>
          </w:tcPr>
          <w:p>
            <w:r>
              <w:rPr>
                <w:b w:val="false"/>
                <w:bCs w:val="false"/>
              </w:rPr>
              <w:t xml:space="preserve">Vendor SOW change, with cost or schedule impact</w:t>
            </w:r>
          </w:p>
        </w:tc>
        <w:tc>
          <w:tcPr>
            <w:tcW w:type="dxa" w:w="6150"/>
          </w:tcPr>
          <w:p>
            <w:r>
              <w:rPr>
                <w:b w:val="false"/>
                <w:bCs w:val="false"/>
              </w:rPr>
              <w:t xml:space="preserve">Steering Committee (Tier 2, per Section 3)</w:t>
            </w:r>
          </w:p>
        </w:tc>
      </w:tr>
      <w:tr>
        <w:tc>
          <w:tcPr>
            <w:tcW w:type="dxa" w:w="3200"/>
          </w:tcPr>
          <w:p>
            <w:r>
              <w:rPr>
                <w:b w:val="false"/>
                <w:bCs w:val="false"/>
              </w:rPr>
              <w:t xml:space="preserve">Vendor performance review</w:t>
            </w:r>
          </w:p>
        </w:tc>
        <w:tc>
          <w:tcPr>
            <w:tcW w:type="dxa" w:w="6150"/>
          </w:tcPr>
          <w:p>
            <w:r>
              <w:rPr>
                <w:b w:val="false"/>
                <w:bCs w:val="false"/>
              </w:rPr>
              <w:t xml:space="preserve">Conducted quarterly by the Vendor/Procurement Manager; reported to the PMO</w:t>
            </w:r>
          </w:p>
        </w:tc>
      </w:tr>
      <w:tr>
        <w:tc>
          <w:tcPr>
            <w:tcW w:type="dxa" w:w="3200"/>
          </w:tcPr>
          <w:p>
            <w:r>
              <w:rPr>
                <w:b w:val="false"/>
                <w:bCs w:val="false"/>
              </w:rPr>
              <w:t xml:space="preserve">Vendor dependency at risk</w:t>
            </w:r>
          </w:p>
        </w:tc>
        <w:tc>
          <w:tcPr>
            <w:tcW w:type="dxa" w:w="6150"/>
          </w:tcPr>
          <w:p>
            <w:r>
              <w:rPr>
                <w:b w:val="false"/>
                <w:bCs w:val="false"/>
              </w:rPr>
              <w:t xml:space="preserve">Automatically visible to the Steering Committee via the RAIDD Log</w:t>
            </w:r>
          </w:p>
        </w:tc>
      </w:tr>
      <w:tr>
        <w:tc>
          <w:tcPr>
            <w:tcW w:type="dxa" w:w="3200"/>
          </w:tcPr>
          <w:p>
            <w:r>
              <w:rPr>
                <w:b w:val="false"/>
                <w:bCs w:val="false"/>
              </w:rPr>
              <w:t xml:space="preserve">Vendor contract dispute</w:t>
            </w:r>
          </w:p>
        </w:tc>
        <w:tc>
          <w:tcPr>
            <w:tcW w:type="dxa" w:w="6150"/>
          </w:tcPr>
          <w:p>
            <w:r>
              <w:rPr>
                <w:b w:val="false"/>
                <w:bCs w:val="false"/>
              </w:rPr>
              <w:t xml:space="preserve">Vendor/Procurement Manager → PM → PMO Director → Executive Sponsor (final authority)</w:t>
            </w:r>
          </w:p>
        </w:tc>
      </w:tr>
      <w:tr>
        <w:tc>
          <w:tcPr>
            <w:tcW w:type="dxa" w:w="3200"/>
          </w:tcPr>
          <w:p>
            <w:r>
              <w:rPr>
                <w:b w:val="false"/>
                <w:bCs w:val="false"/>
              </w:rPr>
              <w:t xml:space="preserve">Vendor warranty &amp; support handover</w:t>
            </w:r>
          </w:p>
        </w:tc>
        <w:tc>
          <w:tcPr>
            <w:tcW w:type="dxa" w:w="6150"/>
          </w:tcPr>
          <w:p>
            <w:r>
              <w:rPr>
                <w:b w:val="false"/>
                <w:bCs w:val="false"/>
              </w:rPr>
              <w:t xml:space="preserve">Owned by the Vendor/Procurement Manager, per CR-005 terms</w:t>
            </w:r>
          </w:p>
        </w:tc>
      </w:tr>
    </w:tbl>
    <w:p>
      <w:pPr>
        <w:pStyle w:val="Heading2"/>
        <w:spacing w:after="150" w:before="300"/>
      </w:pPr>
      <w:r>
        <w:t xml:space="preserve">8. Stage Gates &amp; Phase Approval Criteria</w:t>
      </w:r>
    </w:p>
    <w:p>
      <w:pPr>
        <w:spacing w:after="120"/>
      </w:pPr>
      <w:r>
        <w:t xml:space="preserve">Each of the program's 8 WBS phases has a formal gate that must be passed before the next phase begins in earnest — modeled on the stage-gate approach common in regulated, multi-stakeholder programs.</w:t>
      </w:r>
    </w:p>
    <w:p>
      <w:pPr>
        <w:spacing w:after="160"/>
      </w:pPr>
      <w:r>
        <w:rPr>
          <w:b/>
          <w:bCs/>
        </w:rPr>
        <w:t xml:space="preserve">Every gate requires two things, not one: </w:t>
      </w:r>
      <w:r>
        <w:t xml:space="preserve">the specific go/no-go criteria below, and continued business justification — a brief reconfirmation that the assumptions underlying the Cost-Benefit Analysis still hold. A gate can meet every schedule and quality criterion and still legitimately not pass if the business case has materially changed. This principle is drawn from PRINCE2's continued-business-justification requirement and applies at every gate below, not only Go-Live.</w:t>
      </w:r>
    </w:p>
    <w:tbl>
      <w:tblPr>
        <w:tblW w:type="dxa" w:w="10350"/>
        <w:tblBorders>
          <w:top w:val="single" w:color="auto" w:sz="4"/>
          <w:left w:val="single" w:color="auto" w:sz="4"/>
          <w:bottom w:val="single" w:color="auto" w:sz="4"/>
          <w:right w:val="single" w:color="auto" w:sz="4"/>
          <w:insideH w:val="single" w:color="auto" w:sz="4"/>
          <w:insideV w:val="single" w:color="auto" w:sz="4"/>
        </w:tblBorders>
      </w:tblPr>
      <w:tblGrid>
        <w:gridCol w:w="3200"/>
        <w:gridCol w:w="4200"/>
        <w:gridCol w:w="2950"/>
      </w:tblGrid>
      <w:tr>
        <w:tc>
          <w:tcPr>
            <w:tcW w:type="dxa" w:w="3200"/>
            <w:shd w:fill="12213B" w:val="clear"/>
          </w:tcPr>
          <w:p>
            <w:r>
              <w:rPr>
                <w:b/>
                <w:bCs/>
                <w:color w:val="FFFFFF"/>
              </w:rPr>
              <w:t xml:space="preserve">Gate</w:t>
            </w:r>
          </w:p>
        </w:tc>
        <w:tc>
          <w:tcPr>
            <w:tcW w:type="dxa" w:w="4200"/>
            <w:shd w:fill="12213B" w:val="clear"/>
          </w:tcPr>
          <w:p>
            <w:r>
              <w:rPr>
                <w:b/>
                <w:bCs/>
                <w:color w:val="FFFFFF"/>
              </w:rPr>
              <w:t xml:space="preserve">Go/No-Go Criteria</w:t>
            </w:r>
          </w:p>
        </w:tc>
        <w:tc>
          <w:tcPr>
            <w:tcW w:type="dxa" w:w="2950"/>
            <w:shd w:fill="12213B" w:val="clear"/>
          </w:tcPr>
          <w:p>
            <w:r>
              <w:rPr>
                <w:b/>
                <w:bCs/>
                <w:color w:val="FFFFFF"/>
              </w:rPr>
              <w:t xml:space="preserve">Approval</w:t>
            </w:r>
          </w:p>
        </w:tc>
      </w:tr>
      <w:tr>
        <w:tc>
          <w:tcPr>
            <w:tcW w:type="dxa" w:w="3200"/>
          </w:tcPr>
          <w:p>
            <w:r>
              <w:rPr>
                <w:b w:val="false"/>
                <w:bCs w:val="false"/>
              </w:rPr>
              <w:t xml:space="preserve">Requirements &amp; Vendor Selection Complete</w:t>
            </w:r>
          </w:p>
        </w:tc>
        <w:tc>
          <w:tcPr>
            <w:tcW w:type="dxa" w:w="4200"/>
          </w:tcPr>
          <w:p>
            <w:r>
              <w:rPr>
                <w:b w:val="false"/>
                <w:bCs w:val="false"/>
              </w:rPr>
              <w:t xml:space="preserve">Vendor SOW signed; requirements baseline approved</w:t>
            </w:r>
          </w:p>
        </w:tc>
        <w:tc>
          <w:tcPr>
            <w:tcW w:type="dxa" w:w="2950"/>
          </w:tcPr>
          <w:p>
            <w:r>
              <w:rPr>
                <w:b w:val="false"/>
                <w:bCs w:val="false"/>
              </w:rPr>
              <w:t xml:space="preserve">Steering Committee</w:t>
            </w:r>
          </w:p>
        </w:tc>
      </w:tr>
      <w:tr>
        <w:tc>
          <w:tcPr>
            <w:tcW w:type="dxa" w:w="3200"/>
          </w:tcPr>
          <w:p>
            <w:r>
              <w:rPr>
                <w:b w:val="false"/>
                <w:bCs w:val="false"/>
              </w:rPr>
              <w:t xml:space="preserve">System Upgrade Validated</w:t>
            </w:r>
          </w:p>
        </w:tc>
        <w:tc>
          <w:tcPr>
            <w:tcW w:type="dxa" w:w="4200"/>
          </w:tcPr>
          <w:p>
            <w:r>
              <w:rPr>
                <w:b w:val="false"/>
                <w:bCs w:val="false"/>
              </w:rPr>
              <w:t xml:space="preserve">Platform upgrade tested and validated</w:t>
            </w:r>
          </w:p>
        </w:tc>
        <w:tc>
          <w:tcPr>
            <w:tcW w:type="dxa" w:w="2950"/>
          </w:tcPr>
          <w:p>
            <w:r>
              <w:rPr>
                <w:b w:val="false"/>
                <w:bCs w:val="false"/>
              </w:rPr>
              <w:t xml:space="preserve">Steering Committee</w:t>
            </w:r>
          </w:p>
        </w:tc>
      </w:tr>
      <w:tr>
        <w:tc>
          <w:tcPr>
            <w:tcW w:type="dxa" w:w="3200"/>
          </w:tcPr>
          <w:p>
            <w:r>
              <w:rPr>
                <w:b w:val="false"/>
                <w:bCs w:val="false"/>
              </w:rPr>
              <w:t xml:space="preserve">Data Conversion Sign-off</w:t>
            </w:r>
          </w:p>
        </w:tc>
        <w:tc>
          <w:tcPr>
            <w:tcW w:type="dxa" w:w="4200"/>
          </w:tcPr>
          <w:p>
            <w:r>
              <w:rPr>
                <w:b w:val="false"/>
                <w:bCs w:val="false"/>
              </w:rPr>
              <w:t xml:space="preserve">≥99.5% record-match accuracy achieved</w:t>
            </w:r>
          </w:p>
        </w:tc>
        <w:tc>
          <w:tcPr>
            <w:tcW w:type="dxa" w:w="2950"/>
          </w:tcPr>
          <w:p>
            <w:r>
              <w:rPr>
                <w:b w:val="false"/>
                <w:bCs w:val="false"/>
              </w:rPr>
              <w:t xml:space="preserve">Steering Committee</w:t>
            </w:r>
          </w:p>
        </w:tc>
      </w:tr>
      <w:tr>
        <w:tc>
          <w:tcPr>
            <w:tcW w:type="dxa" w:w="3200"/>
          </w:tcPr>
          <w:p>
            <w:r>
              <w:rPr>
                <w:b w:val="false"/>
                <w:bCs w:val="false"/>
              </w:rPr>
              <w:t xml:space="preserve">Integration Build Complete</w:t>
            </w:r>
          </w:p>
        </w:tc>
        <w:tc>
          <w:tcPr>
            <w:tcW w:type="dxa" w:w="4200"/>
          </w:tcPr>
          <w:p>
            <w:r>
              <w:rPr>
                <w:b w:val="false"/>
                <w:bCs w:val="false"/>
              </w:rPr>
              <w:t xml:space="preserve">All 6 integrations pass unit/integration testing</w:t>
            </w:r>
          </w:p>
        </w:tc>
        <w:tc>
          <w:tcPr>
            <w:tcW w:type="dxa" w:w="2950"/>
          </w:tcPr>
          <w:p>
            <w:r>
              <w:rPr>
                <w:b w:val="false"/>
                <w:bCs w:val="false"/>
              </w:rPr>
              <w:t xml:space="preserve">PM, reported to Steering Committee</w:t>
            </w:r>
          </w:p>
        </w:tc>
      </w:tr>
      <w:tr>
        <w:tc>
          <w:tcPr>
            <w:tcW w:type="dxa" w:w="3200"/>
          </w:tcPr>
          <w:p>
            <w:r>
              <w:rPr>
                <w:b w:val="false"/>
                <w:bCs w:val="false"/>
              </w:rPr>
              <w:t xml:space="preserve">Testing Complete / UAT Sign-off</w:t>
            </w:r>
          </w:p>
        </w:tc>
        <w:tc>
          <w:tcPr>
            <w:tcW w:type="dxa" w:w="4200"/>
          </w:tcPr>
          <w:p>
            <w:r>
              <w:rPr>
                <w:b w:val="false"/>
                <w:bCs w:val="false"/>
              </w:rPr>
              <w:t xml:space="preserve">UAT pass rate ≥90%; zero open Critical/High findings; SOX testing passed</w:t>
            </w:r>
          </w:p>
        </w:tc>
        <w:tc>
          <w:tcPr>
            <w:tcW w:type="dxa" w:w="2950"/>
          </w:tcPr>
          <w:p>
            <w:r>
              <w:rPr>
                <w:b w:val="false"/>
                <w:bCs w:val="false"/>
              </w:rPr>
              <w:t xml:space="preserve">Steering Committee</w:t>
            </w:r>
          </w:p>
        </w:tc>
      </w:tr>
      <w:tr>
        <w:tc>
          <w:tcPr>
            <w:tcW w:type="dxa" w:w="3200"/>
          </w:tcPr>
          <w:p>
            <w:r>
              <w:rPr>
                <w:b w:val="false"/>
                <w:bCs w:val="false"/>
              </w:rPr>
              <w:t xml:space="preserve">Go-Live</w:t>
            </w:r>
          </w:p>
        </w:tc>
        <w:tc>
          <w:tcPr>
            <w:tcW w:type="dxa" w:w="4200"/>
          </w:tcPr>
          <w:p>
            <w:r>
              <w:rPr>
                <w:b w:val="false"/>
                <w:bCs w:val="false"/>
              </w:rPr>
              <w:t xml:space="preserve">All prior gates passed; formal readiness review complete</w:t>
            </w:r>
          </w:p>
        </w:tc>
        <w:tc>
          <w:tcPr>
            <w:tcW w:type="dxa" w:w="2950"/>
          </w:tcPr>
          <w:p>
            <w:r>
              <w:rPr>
                <w:b w:val="false"/>
                <w:bCs w:val="false"/>
              </w:rPr>
              <w:t xml:space="preserve">Executive Sponsor + Steering Committee</w:t>
            </w:r>
          </w:p>
        </w:tc>
      </w:tr>
      <w:tr>
        <w:tc>
          <w:tcPr>
            <w:tcW w:type="dxa" w:w="3200"/>
          </w:tcPr>
          <w:p>
            <w:r>
              <w:rPr>
                <w:b w:val="false"/>
                <w:bCs w:val="false"/>
              </w:rPr>
              <w:t xml:space="preserve">Closeout</w:t>
            </w:r>
          </w:p>
        </w:tc>
        <w:tc>
          <w:tcPr>
            <w:tcW w:type="dxa" w:w="4200"/>
          </w:tcPr>
          <w:p>
            <w:r>
              <w:rPr>
                <w:b w:val="false"/>
                <w:bCs w:val="false"/>
              </w:rPr>
              <w:t xml:space="preserve">Warranty period complete; lessons learned documented</w:t>
            </w:r>
          </w:p>
        </w:tc>
        <w:tc>
          <w:tcPr>
            <w:tcW w:type="dxa" w:w="2950"/>
          </w:tcPr>
          <w:p>
            <w:r>
              <w:rPr>
                <w:b w:val="false"/>
                <w:bCs w:val="false"/>
              </w:rPr>
              <w:t xml:space="preserve">PMO</w:t>
            </w:r>
          </w:p>
        </w:tc>
      </w:tr>
    </w:tbl>
    <w:p>
      <w:pPr>
        <w:pStyle w:val="Heading2"/>
        <w:spacing w:after="150" w:before="300"/>
      </w:pPr>
      <w:r>
        <w:t xml:space="preserve">9. Independent Assurance</w:t>
      </w:r>
    </w:p>
    <w:p>
      <w:pPr>
        <w:spacing w:after="120"/>
      </w:pPr>
      <w:r>
        <w:t xml:space="preserve">Performance Monitoring (Section 12) is self-reported: the Program Manager and PMO track and report status upward through the normal chain. Independent Assurance is a distinct, separate check — performed by someone outside the reporting chain being assessed — to catch an incomplete or overly optimistic self-report before it reaches the Steering Committee.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350"/>
        <w:gridCol w:w="7000"/>
      </w:tblGrid>
      <w:tr>
        <w:tc>
          <w:tcPr>
            <w:tcW w:type="dxa" w:w="2350"/>
            <w:shd w:fill="12213B" w:val="clear"/>
          </w:tcPr>
          <w:p>
            <w:r>
              <w:rPr>
                <w:b/>
                <w:bCs/>
                <w:color w:val="FFFFFF"/>
              </w:rPr>
              <w:t xml:space="preserve">Element</w:t>
            </w:r>
          </w:p>
        </w:tc>
        <w:tc>
          <w:tcPr>
            <w:tcW w:type="dxa" w:w="7000"/>
            <w:shd w:fill="12213B" w:val="clear"/>
          </w:tcPr>
          <w:p>
            <w:r>
              <w:rPr>
                <w:b/>
                <w:bCs/>
                <w:color w:val="FFFFFF"/>
              </w:rPr>
              <w:t xml:space="preserve">Detail</w:t>
            </w:r>
          </w:p>
        </w:tc>
      </w:tr>
      <w:tr>
        <w:tc>
          <w:tcPr>
            <w:tcW w:type="dxa" w:w="2350"/>
          </w:tcPr>
          <w:p>
            <w:r>
              <w:rPr>
                <w:b w:val="false"/>
                <w:bCs w:val="false"/>
              </w:rPr>
              <w:t xml:space="preserve">Who performs it</w:t>
            </w:r>
          </w:p>
        </w:tc>
        <w:tc>
          <w:tcPr>
            <w:tcW w:type="dxa" w:w="7000"/>
          </w:tcPr>
          <w:p>
            <w:r>
              <w:rPr>
                <w:b w:val="false"/>
                <w:bCs w:val="false"/>
              </w:rPr>
              <w:t xml:space="preserve">PMO Director, or a PMO team member not directly assigned to this program; the Executive Sponsor may designate an independent reviewer from outside the PMO</w:t>
            </w:r>
          </w:p>
        </w:tc>
      </w:tr>
      <w:tr>
        <w:tc>
          <w:tcPr>
            <w:tcW w:type="dxa" w:w="2350"/>
          </w:tcPr>
          <w:p>
            <w:r>
              <w:rPr>
                <w:b w:val="false"/>
                <w:bCs w:val="false"/>
              </w:rPr>
              <w:t xml:space="preserve">Frequency</w:t>
            </w:r>
          </w:p>
        </w:tc>
        <w:tc>
          <w:tcPr>
            <w:tcW w:type="dxa" w:w="7000"/>
          </w:tcPr>
          <w:p>
            <w:r>
              <w:rPr>
                <w:b w:val="false"/>
                <w:bCs w:val="false"/>
              </w:rPr>
              <w:t xml:space="preserve">Before each Stage Gate (Section 8); at the midpoint of any phase exceeding 90 days</w:t>
            </w:r>
          </w:p>
        </w:tc>
      </w:tr>
      <w:tr>
        <w:tc>
          <w:tcPr>
            <w:tcW w:type="dxa" w:w="2350"/>
          </w:tcPr>
          <w:p>
            <w:r>
              <w:rPr>
                <w:b w:val="false"/>
                <w:bCs w:val="false"/>
              </w:rPr>
              <w:t xml:space="preserve">Scope</w:t>
            </w:r>
          </w:p>
        </w:tc>
        <w:tc>
          <w:tcPr>
            <w:tcW w:type="dxa" w:w="7000"/>
          </w:tcPr>
          <w:p>
            <w:r>
              <w:rPr>
                <w:b w:val="false"/>
                <w:bCs w:val="false"/>
              </w:rPr>
              <w:t xml:space="preserve">Spot-check reported EVM figures against underlying data; review RAIDD Log completeness; confirm Change Control Log entries match actual approved changes</w:t>
            </w:r>
          </w:p>
        </w:tc>
      </w:tr>
      <w:tr>
        <w:tc>
          <w:tcPr>
            <w:tcW w:type="dxa" w:w="2350"/>
          </w:tcPr>
          <w:p>
            <w:r>
              <w:rPr>
                <w:b w:val="false"/>
                <w:bCs w:val="false"/>
              </w:rPr>
              <w:t xml:space="preserve">Findings</w:t>
            </w:r>
          </w:p>
        </w:tc>
        <w:tc>
          <w:tcPr>
            <w:tcW w:type="dxa" w:w="7000"/>
          </w:tcPr>
          <w:p>
            <w:r>
              <w:rPr>
                <w:b w:val="false"/>
                <w:bCs w:val="false"/>
              </w:rPr>
              <w:t xml:space="preserve">Reported directly to the Steering Committee — not filtered through the Program Manager</w:t>
            </w:r>
          </w:p>
        </w:tc>
      </w:tr>
    </w:tbl>
    <w:p>
      <w:pPr>
        <w:pStyle w:val="Heading2"/>
        <w:spacing w:after="150" w:before="300"/>
      </w:pPr>
      <w:r>
        <w:t xml:space="preserve">10. Risk &amp; Issue Governance</w:t>
      </w:r>
    </w:p>
    <w:p>
      <w:pPr>
        <w:spacing w:after="120"/>
      </w:pPr>
      <w:r>
        <w:t xml:space="preserve">The RAIDD Log records what the risks and issues are; this section defines who has authority to accept, fund, or escalate a response.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350"/>
        <w:gridCol w:w="7000"/>
      </w:tblGrid>
      <w:tr>
        <w:tc>
          <w:tcPr>
            <w:tcW w:type="dxa" w:w="2350"/>
            <w:shd w:fill="12213B" w:val="clear"/>
          </w:tcPr>
          <w:p>
            <w:r>
              <w:rPr>
                <w:b/>
                <w:bCs/>
                <w:color w:val="FFFFFF"/>
              </w:rPr>
              <w:t xml:space="preserve">Risk Score</w:t>
            </w:r>
          </w:p>
        </w:tc>
        <w:tc>
          <w:tcPr>
            <w:tcW w:type="dxa" w:w="7000"/>
            <w:shd w:fill="12213B" w:val="clear"/>
          </w:tcPr>
          <w:p>
            <w:r>
              <w:rPr>
                <w:b/>
                <w:bCs/>
                <w:color w:val="FFFFFF"/>
              </w:rPr>
              <w:t xml:space="preserve">Authority</w:t>
            </w:r>
          </w:p>
        </w:tc>
      </w:tr>
      <w:tr>
        <w:tc>
          <w:tcPr>
            <w:tcW w:type="dxa" w:w="2350"/>
          </w:tcPr>
          <w:p>
            <w:r>
              <w:rPr>
                <w:b w:val="false"/>
                <w:bCs w:val="false"/>
              </w:rPr>
              <w:t xml:space="preserve">1–3 (Low)</w:t>
            </w:r>
          </w:p>
        </w:tc>
        <w:tc>
          <w:tcPr>
            <w:tcW w:type="dxa" w:w="7000"/>
          </w:tcPr>
          <w:p>
            <w:r>
              <w:rPr>
                <w:b w:val="false"/>
                <w:bCs w:val="false"/>
              </w:rPr>
              <w:t xml:space="preserve">Program Manager may accept and manage without further approval</w:t>
            </w:r>
          </w:p>
        </w:tc>
      </w:tr>
      <w:tr>
        <w:tc>
          <w:tcPr>
            <w:tcW w:type="dxa" w:w="2350"/>
          </w:tcPr>
          <w:p>
            <w:r>
              <w:rPr>
                <w:b w:val="false"/>
                <w:bCs w:val="false"/>
              </w:rPr>
              <w:t xml:space="preserve">4–6 (Medium)</w:t>
            </w:r>
          </w:p>
        </w:tc>
        <w:tc>
          <w:tcPr>
            <w:tcW w:type="dxa" w:w="7000"/>
          </w:tcPr>
          <w:p>
            <w:r>
              <w:rPr>
                <w:b w:val="false"/>
                <w:bCs w:val="false"/>
              </w:rPr>
              <w:t xml:space="preserve">Program Manager manages; reported to Steering Committee next cycle</w:t>
            </w:r>
          </w:p>
        </w:tc>
      </w:tr>
      <w:tr>
        <w:tc>
          <w:tcPr>
            <w:tcW w:type="dxa" w:w="2350"/>
          </w:tcPr>
          <w:p>
            <w:r>
              <w:rPr>
                <w:b w:val="false"/>
                <w:bCs w:val="false"/>
              </w:rPr>
              <w:t xml:space="preserve">7–9 (High)</w:t>
            </w:r>
          </w:p>
        </w:tc>
        <w:tc>
          <w:tcPr>
            <w:tcW w:type="dxa" w:w="7000"/>
          </w:tcPr>
          <w:p>
            <w:r>
              <w:rPr>
                <w:b w:val="false"/>
                <w:bCs w:val="false"/>
              </w:rPr>
              <w:t xml:space="preserve">Requires Steering Committee visibility and response plan approval</w:t>
            </w:r>
          </w:p>
        </w:tc>
      </w:tr>
    </w:tbl>
    <w:p>
      <w:pPr>
        <w:pStyle w:val="Heading2"/>
        <w:spacing w:after="150" w:before="300"/>
      </w:pPr>
      <w:r>
        <w:t xml:space="preserve">11. Compliance &amp; Regulatory Oversight</w:t>
      </w:r>
    </w:p>
    <w:p>
      <w:pPr>
        <w:spacing w:after="120"/>
      </w:pPr>
      <w:r>
        <w:t xml:space="preserve">Because the program touches financial systems subject to SOX controls, compliance sign-off carries a standing exception to the normal authority tiering:</w:t>
      </w:r>
    </w:p>
    <w:p>
      <w:pPr>
        <w:spacing w:after="160"/>
      </w:pPr>
      <w:r>
        <w:rPr>
          <w:b/>
          <w:bCs/>
          <w:color w:val="9A6400"/>
        </w:rPr>
        <w:t xml:space="preserve">Compliance Veto Authority: </w:t>
      </w:r>
      <w:r>
        <w:t xml:space="preserve">SOX compliance sign-off (owned by the Chief Compliance Officer and the Internal Audit/SOX Compliance Lead) cannot be waived or overridden by schedule or budget pressure at the Program Manager or Steering Committee level. Only the Executive Sponsor, in consultation with the Chief Compliance Officer, may authorize an exception, and any exception must be documented with rationale in the governance review record (Section 13).</w:t>
      </w:r>
    </w:p>
    <w:p>
      <w:pPr>
        <w:pStyle w:val="Heading2"/>
        <w:spacing w:after="150" w:before="300"/>
      </w:pPr>
      <w:r>
        <w:t xml:space="preserve">12. Performance Monitoring</w:t>
      </w:r>
    </w:p>
    <w:p>
      <w:pPr>
        <w:spacing w:after="120"/>
      </w:pPr>
      <w:r>
        <w:t xml:space="preserve">The Steering Committee monitors program health against the quality KPIs defined in PM Plan Section 8, reported monthly via the Steering Committee Deck:</w:t>
      </w:r>
    </w:p>
    <w:p>
      <w:pPr>
        <w:pStyle w:val="ListParagraph"/>
        <w:numPr>
          <w:ilvl w:val="0"/>
          <w:numId w:val="1"/>
        </w:numPr>
        <w:spacing w:after="100"/>
      </w:pPr>
      <w:r>
        <w:t xml:space="preserve">Schedule Performance Index (SPI) and Cost Performance Index (CPI) ≥ 0.95</w:t>
      </w:r>
    </w:p>
    <w:p>
      <w:pPr>
        <w:pStyle w:val="ListParagraph"/>
        <w:numPr>
          <w:ilvl w:val="0"/>
          <w:numId w:val="1"/>
        </w:numPr>
        <w:spacing w:after="100"/>
      </w:pPr>
      <w:r>
        <w:t xml:space="preserve">Data Conversion Accuracy ≥ 99.5%</w:t>
      </w:r>
    </w:p>
    <w:p>
      <w:pPr>
        <w:pStyle w:val="ListParagraph"/>
        <w:numPr>
          <w:ilvl w:val="0"/>
          <w:numId w:val="1"/>
        </w:numPr>
        <w:spacing w:after="100"/>
      </w:pPr>
      <w:r>
        <w:t xml:space="preserve">Critical/High Defect Escape Rate to UAT ≤ 5%</w:t>
      </w:r>
    </w:p>
    <w:p>
      <w:pPr>
        <w:pStyle w:val="ListParagraph"/>
        <w:numPr>
          <w:ilvl w:val="0"/>
          <w:numId w:val="1"/>
        </w:numPr>
        <w:spacing w:after="100"/>
      </w:pPr>
      <w:r>
        <w:t xml:space="preserve">UAT Pass Rate (first cycle) ≥ 90%</w:t>
      </w:r>
    </w:p>
    <w:p>
      <w:pPr>
        <w:pStyle w:val="ListParagraph"/>
        <w:numPr>
          <w:ilvl w:val="0"/>
          <w:numId w:val="1"/>
        </w:numPr>
        <w:spacing w:after="100"/>
      </w:pPr>
      <w:r>
        <w:t xml:space="preserve">Critical/High security findings open at Go-Live: 0</w:t>
      </w:r>
    </w:p>
    <w:p>
      <w:pPr>
        <w:pStyle w:val="ListParagraph"/>
        <w:numPr>
          <w:ilvl w:val="0"/>
          <w:numId w:val="1"/>
        </w:numPr>
        <w:spacing w:after="100"/>
      </w:pPr>
      <w:r>
        <w:t xml:space="preserve">Training Completion ≥ 95% prior to Go-Live</w:t>
      </w:r>
    </w:p>
    <w:p>
      <w:pPr>
        <w:pStyle w:val="ListParagraph"/>
        <w:numPr>
          <w:ilvl w:val="0"/>
          <w:numId w:val="1"/>
        </w:numPr>
        <w:spacing w:after="100"/>
      </w:pPr>
      <w:r>
        <w:t xml:space="preserve">Hypercare Severity-1 Incidents ≤ 2</w:t>
      </w:r>
    </w:p>
    <w:p>
      <w:pPr>
        <w:pStyle w:val="Heading2"/>
        <w:spacing w:after="150" w:before="300"/>
      </w:pPr>
      <w:r>
        <w:t xml:space="preserve">13. Governance of This Framework</w:t>
      </w:r>
    </w:p>
    <w:p>
      <w:pPr>
        <w:spacing w:after="120"/>
      </w:pPr>
      <w:r>
        <w:t xml:space="preserve">This document is owned by the PMO Director and reviewed quarterly. Amendments to the decision-rights tiers, escalation thresholds, or stage-gate criteria require Steering Committee approval; amendments to meeting cadence or reporting format may be approved by the PMO Director alone.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4350"/>
        <w:gridCol w:w="2000"/>
      </w:tblGrid>
      <w:tr>
        <w:tc>
          <w:tcPr>
            <w:tcW w:type="dxa" w:w="1200"/>
            <w:shd w:fill="12213B" w:val="clear"/>
          </w:tcPr>
          <w:p>
            <w:r>
              <w:rPr>
                <w:b/>
                <w:bCs/>
                <w:color w:val="FFFFFF"/>
              </w:rPr>
              <w:t xml:space="preserve">Version</w:t>
            </w:r>
          </w:p>
        </w:tc>
        <w:tc>
          <w:tcPr>
            <w:tcW w:type="dxa" w:w="1800"/>
            <w:shd w:fill="12213B" w:val="clear"/>
          </w:tcPr>
          <w:p>
            <w:r>
              <w:rPr>
                <w:b/>
                <w:bCs/>
                <w:color w:val="FFFFFF"/>
              </w:rPr>
              <w:t xml:space="preserve">Date</w:t>
            </w:r>
          </w:p>
        </w:tc>
        <w:tc>
          <w:tcPr>
            <w:tcW w:type="dxa" w:w="4350"/>
            <w:shd w:fill="12213B" w:val="clear"/>
          </w:tcPr>
          <w:p>
            <w:r>
              <w:rPr>
                <w:b/>
                <w:bCs/>
                <w:color w:val="FFFFFF"/>
              </w:rPr>
              <w:t xml:space="preserve">Summary</w:t>
            </w:r>
          </w:p>
        </w:tc>
        <w:tc>
          <w:tcPr>
            <w:tcW w:type="dxa" w:w="2000"/>
            <w:shd w:fill="12213B" w:val="clear"/>
          </w:tcPr>
          <w:p>
            <w:r>
              <w:rPr>
                <w:b/>
                <w:bCs/>
                <w:color w:val="FFFFFF"/>
              </w:rPr>
              <w:t xml:space="preserve">Approved By</w:t>
            </w:r>
          </w:p>
        </w:tc>
      </w:tr>
      <w:tr>
        <w:tc>
          <w:tcPr>
            <w:tcW w:type="dxa" w:w="1200"/>
          </w:tcPr>
          <w:p>
            <w:r>
              <w:rPr>
                <w:b w:val="false"/>
                <w:bCs w:val="false"/>
              </w:rPr>
              <w:t xml:space="preserve">1.0</w:t>
            </w:r>
          </w:p>
        </w:tc>
        <w:tc>
          <w:tcPr>
            <w:tcW w:type="dxa" w:w="1800"/>
          </w:tcPr>
          <w:p>
            <w:r>
              <w:rPr>
                <w:b w:val="false"/>
                <w:bCs w:val="false"/>
              </w:rPr>
              <w:t xml:space="preserve">15 Jan 2027</w:t>
            </w:r>
          </w:p>
        </w:tc>
        <w:tc>
          <w:tcPr>
            <w:tcW w:type="dxa" w:w="4350"/>
          </w:tcPr>
          <w:p>
            <w:r>
              <w:rPr>
                <w:b w:val="false"/>
                <w:bCs w:val="false"/>
              </w:rPr>
              <w:t xml:space="preserve">Initial governance model established</w:t>
            </w:r>
          </w:p>
        </w:tc>
        <w:tc>
          <w:tcPr>
            <w:tcW w:type="dxa" w:w="2000"/>
          </w:tcPr>
          <w:p>
            <w:r>
              <w:rPr>
                <w:b w:val="false"/>
                <w:bCs w:val="false"/>
              </w:rPr>
              <w:t xml:space="preserve">Steering Committee</w:t>
            </w:r>
          </w:p>
        </w:tc>
      </w:tr>
    </w:tbl>
    <w:p>
      <w:pPr>
        <w:pStyle w:val="Heading2"/>
        <w:spacing w:after="150" w:before="300"/>
      </w:pPr>
      <w:r>
        <w:t xml:space="preserve">14. Approval</w:t>
      </w:r>
    </w:p>
    <w:p>
      <w:pPr>
        <w:spacing w:after="120"/>
      </w:pPr>
      <w:r>
        <w:t xml:space="preserve">This governance model is approved for use across the Enrollment &amp; Claims Platform Modernization program.</w:t>
      </w:r>
    </w:p>
    <w:p>
      <w:pPr>
        <w:spacing w:before="300"/>
      </w:pPr>
      <w:r>
        <w:t xml:space="preserve">_________________________________          Date: ____________</w:t>
      </w:r>
    </w:p>
    <w:p>
      <w:pPr>
        <w:spacing w:after="120"/>
      </w:pPr>
      <w:r>
        <w:t xml:space="preserve">G. Whitfield, Executive Sponsor</w:t>
      </w:r>
    </w:p>
    <w:p>
      <w:pPr>
        <w:spacing w:before="200"/>
      </w:pPr>
      <w:r>
        <w:t xml:space="preserve">_________________________________          Date: ____________</w:t>
      </w:r>
    </w:p>
    <w:p>
      <w:pPr>
        <w:spacing w:after="120"/>
      </w:pPr>
      <w:r>
        <w:t xml:space="preserve">S. Ryan, Director, PMO</w:t>
      </w:r>
    </w:p>
    <w:p>
      <w:pPr>
        <w:spacing w:before="200"/>
      </w:pPr>
      <w:r>
        <w:t xml:space="preserve">_________________________________          Date: ____________</w:t>
      </w:r>
    </w:p>
    <w:p>
      <w:pPr>
        <w:spacing w:after="120"/>
      </w:pPr>
      <w:r>
        <w:t xml:space="preserve">C. Tyrrell, Program Manager</w:t>
      </w:r>
    </w:p>
    <w:p>
      <w:pPr>
        <w:spacing w:before="300"/>
      </w:pPr>
      <w:r>
        <w:rPr>
          <w:i/>
          <w:iCs/>
          <w:color w:val="5B6472"/>
          <w:sz w:val="18"/>
          <w:szCs w:val="18"/>
        </w:rPr>
        <w:t xml:space="preserve">Illustrative program data — created to demonstrate PMBOK/PRINCE2-informed program governance practice, not a real client engagement.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2026-07-07T11:11:21.072Z</dcterms:created>
  <dcterms:modified xsi:type="dcterms:W3CDTF">2026-07-07T11:11:21.073Z</dcterms:modified>
</cp:coreProperties>
</file>

<file path=docProps/custom.xml><?xml version="1.0" encoding="utf-8"?>
<Properties xmlns="http://schemas.openxmlformats.org/officeDocument/2006/custom-properties" xmlns:vt="http://schemas.openxmlformats.org/officeDocument/2006/docPropsVTypes"/>
</file>