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Enrollment &amp; Claims Platform Modernization</w:t>
      </w:r>
    </w:p>
    <w:p>
      <w:r>
        <w:rPr>
          <w:color w:val="1E5945"/>
          <w:sz w:val="18"/>
        </w:rPr>
        <w:t>Roles &amp; Responsibilities</w:t>
      </w:r>
    </w:p>
    <w:p/>
    <w:p>
      <w:pPr>
        <w:spacing w:before="280" w:after="80"/>
      </w:pPr>
      <w:r>
        <w:rPr>
          <w:b/>
          <w:i w:val="0"/>
          <w:color w:val="14352A"/>
          <w:sz w:val="28"/>
        </w:rPr>
        <w:t>1. Why This Document Exists</w:t>
      </w:r>
    </w:p>
    <w:p>
      <w:pPr>
        <w:spacing w:after="120"/>
      </w:pPr>
      <w:r>
        <w:rPr>
          <w:b w:val="0"/>
          <w:i w:val="0"/>
          <w:sz w:val="20"/>
        </w:rPr>
        <w:t xml:space="preserve">An org chart shows who sits where. A RACI shows who touches which deliverable. Neither answers the question a new joiner actually asks in week one: </w:t>
      </w:r>
      <w:r>
        <w:rPr>
          <w:b/>
          <w:i w:val="0"/>
          <w:sz w:val="20"/>
        </w:rPr>
        <w:t>what am I accountable for, and who can tell me to do something?</w:t>
      </w:r>
      <w:r>
        <w:rPr>
          <w:b w:val="0"/>
          <w:i w:val="0"/>
          <w:sz w:val="20"/>
        </w:rPr>
        <w:t xml:space="preserve"> On this program those are different questions with different answers, and the gap between them is where most of the friction lives.</w:t>
      </w:r>
    </w:p>
    <w:p>
      <w:pPr>
        <w:spacing w:after="120"/>
      </w:pPr>
      <w:r>
        <w:rPr>
          <w:b w:val="0"/>
          <w:i w:val="0"/>
          <w:sz w:val="20"/>
        </w:rPr>
        <w:t xml:space="preserve">This document names every function, states what it owns, and — more usefully — states what it does </w:t>
      </w:r>
      <w:r>
        <w:rPr>
          <w:b w:val="0"/>
          <w:i/>
          <w:sz w:val="20"/>
        </w:rPr>
        <w:t>not</w:t>
      </w:r>
      <w:r>
        <w:rPr>
          <w:b w:val="0"/>
          <w:i w:val="0"/>
          <w:sz w:val="20"/>
        </w:rPr>
        <w:t xml:space="preserve"> own. It also names the two bodies the program cannot instruct, because knowing where your authority stops is more operationally useful than knowing where it starts.</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single most important fact about this program's structure:</w:t>
            </w:r>
            <w:r>
              <w:rPr>
                <w:b w:val="0"/>
                <w:i w:val="0"/>
                <w:sz w:val="20"/>
              </w:rPr>
              <w:t xml:space="preserve"> the Program Manager has </w:t>
            </w:r>
            <w:r>
              <w:rPr>
                <w:b/>
                <w:i w:val="0"/>
                <w:sz w:val="20"/>
              </w:rPr>
              <w:t>no direct reports</w:t>
            </w:r>
            <w:r>
              <w:rPr>
                <w:b w:val="0"/>
                <w:i w:val="0"/>
                <w:sz w:val="20"/>
              </w:rPr>
              <w:t xml:space="preserve">. All 55 people are matrixed. Every line in the org chart except one reads “Program Manager (matrixed)”, and the one exception is the Program Manager's own line to S. Ryan, Director PMO. </w:t>
            </w:r>
            <w:r>
              <w:rPr>
                <w:b/>
                <w:i w:val="0"/>
                <w:sz w:val="20"/>
              </w:rPr>
              <w:t>Nobody on this program can be hired, fired, promoted, or given a performance rating by the person accountable for the outcome.</w:t>
            </w:r>
          </w:p>
        </w:tc>
      </w:tr>
    </w:tbl>
    <w:p/>
    <w:p>
      <w:pPr>
        <w:spacing w:before="280" w:after="80"/>
      </w:pPr>
      <w:r>
        <w:rPr>
          <w:b/>
          <w:i w:val="0"/>
          <w:color w:val="14352A"/>
          <w:sz w:val="28"/>
        </w:rPr>
        <w:t>2. The Shape of the Organization</w:t>
      </w:r>
    </w:p>
    <w:p>
      <w:pPr>
        <w:spacing w:after="120"/>
      </w:pPr>
      <w:r>
        <w:rPr>
          <w:b w:val="0"/>
          <w:i w:val="0"/>
          <w:sz w:val="20"/>
        </w:rPr>
        <w:t>Fifty-five people, one accountable manager, zero reporting authority. That is not a defect in the design; it is the normal shape of enterprise IT delivery inside a payer, where engineers belong to Application Development, testers to Quality Engineering, and infrastructure staff to Technology Operations. The program borrows them.</w:t>
      </w:r>
    </w:p>
    <w:p>
      <w:pPr>
        <w:spacing w:after="120"/>
      </w:pPr>
      <w:r>
        <w:rPr>
          <w:b w:val="0"/>
          <w:i w:val="0"/>
          <w:sz w:val="20"/>
        </w:rPr>
        <w:t xml:space="preserve">What that costs is real and worth stating plainly. </w:t>
      </w:r>
      <w:r>
        <w:rPr>
          <w:b/>
          <w:i w:val="0"/>
          <w:sz w:val="20"/>
        </w:rPr>
        <w:t>Priority conflicts are resolved by the functional manager, not by the program.</w:t>
      </w:r>
      <w:r>
        <w:rPr>
          <w:b w:val="0"/>
          <w:i w:val="0"/>
          <w:sz w:val="20"/>
        </w:rPr>
        <w:t xml:space="preserve"> When an integration developer is pulled onto a production incident, the program is informed rather than consulted. The mitigation is not authority — the program will never have it — but </w:t>
      </w:r>
      <w:r>
        <w:rPr>
          <w:b/>
          <w:i w:val="0"/>
          <w:sz w:val="20"/>
        </w:rPr>
        <w:t>visibility early enough to re-sequence</w:t>
      </w:r>
      <w:r>
        <w:rPr>
          <w:b w:val="0"/>
          <w:i w:val="0"/>
          <w:sz w:val="20"/>
        </w:rPr>
        <w:t>: named individuals in the resource register rather than headcount, and a standing conversation with each functional manager rather than an escalation after the fact.</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Function</w:t>
            </w:r>
          </w:p>
        </w:tc>
        <w:tc>
          <w:tcPr>
            <w:tcW w:type="dxa" w:w="2412"/>
            <w:shd w:val="clear" w:fill="14352A"/>
          </w:tcPr>
          <w:p>
            <w:pPr>
              <w:spacing w:before="40" w:after="40"/>
            </w:pPr>
            <w:r>
              <w:rPr>
                <w:b/>
                <w:i w:val="0"/>
                <w:color w:val="FFFFFF"/>
                <w:sz w:val="17"/>
              </w:rPr>
              <w:t>People</w:t>
            </w:r>
          </w:p>
        </w:tc>
        <w:tc>
          <w:tcPr>
            <w:tcW w:type="dxa" w:w="2412"/>
            <w:shd w:val="clear" w:fill="14352A"/>
          </w:tcPr>
          <w:p>
            <w:pPr>
              <w:spacing w:before="40" w:after="40"/>
            </w:pPr>
            <w:r>
              <w:rPr>
                <w:b/>
                <w:i w:val="0"/>
                <w:color w:val="FFFFFF"/>
                <w:sz w:val="17"/>
              </w:rPr>
              <w:t>Owns</w:t>
            </w:r>
          </w:p>
        </w:tc>
        <w:tc>
          <w:tcPr>
            <w:tcW w:type="dxa" w:w="2412"/>
            <w:shd w:val="clear" w:fill="14352A"/>
          </w:tcPr>
          <w:p>
            <w:pPr>
              <w:spacing w:before="40" w:after="40"/>
            </w:pPr>
            <w:r>
              <w:rPr>
                <w:b/>
                <w:i w:val="0"/>
                <w:color w:val="FFFFFF"/>
                <w:sz w:val="17"/>
              </w:rPr>
              <w:t>Does not own</w:t>
            </w:r>
          </w:p>
        </w:tc>
      </w:tr>
      <w:tr>
        <w:tc>
          <w:tcPr>
            <w:tcW w:type="dxa" w:w="2412"/>
          </w:tcPr>
          <w:p>
            <w:pPr>
              <w:spacing w:before="40" w:after="40"/>
            </w:pPr>
            <w:r>
              <w:rPr>
                <w:b/>
                <w:i w:val="0"/>
                <w:sz w:val="17"/>
              </w:rPr>
              <w:t>Program Management</w:t>
            </w:r>
            <w:r>
              <w:rPr>
                <w:sz w:val="17"/>
              </w:rPr>
              <w:br/>
            </w:r>
            <w:r>
              <w:rPr>
                <w:b w:val="0"/>
                <w:i w:val="0"/>
                <w:sz w:val="17"/>
              </w:rPr>
              <w:t>C. Tyrrell</w:t>
            </w:r>
          </w:p>
        </w:tc>
        <w:tc>
          <w:tcPr>
            <w:tcW w:type="dxa" w:w="2412"/>
          </w:tcPr>
          <w:p>
            <w:pPr>
              <w:spacing w:before="40" w:after="40"/>
            </w:pPr>
            <w:r>
              <w:rPr>
                <w:b w:val="0"/>
                <w:i w:val="0"/>
                <w:sz w:val="17"/>
              </w:rPr>
              <w:t>1</w:t>
            </w:r>
          </w:p>
        </w:tc>
        <w:tc>
          <w:tcPr>
            <w:tcW w:type="dxa" w:w="2412"/>
          </w:tcPr>
          <w:p>
            <w:pPr>
              <w:spacing w:before="40" w:after="40"/>
            </w:pPr>
            <w:r>
              <w:rPr>
                <w:b w:val="0"/>
                <w:i w:val="0"/>
                <w:sz w:val="17"/>
              </w:rPr>
              <w:t>Scope, schedule, budget, risk, the integrated plan, and every commitment made outside the program</w:t>
            </w:r>
          </w:p>
        </w:tc>
        <w:tc>
          <w:tcPr>
            <w:tcW w:type="dxa" w:w="2412"/>
          </w:tcPr>
          <w:p>
            <w:pPr>
              <w:spacing w:before="40" w:after="40"/>
            </w:pPr>
            <w:r>
              <w:rPr>
                <w:b w:val="0"/>
                <w:i w:val="0"/>
                <w:sz w:val="17"/>
              </w:rPr>
              <w:t>Any individual's time, priority, or performance rating</w:t>
            </w:r>
          </w:p>
        </w:tc>
      </w:tr>
      <w:tr>
        <w:tc>
          <w:tcPr>
            <w:tcW w:type="dxa" w:w="2412"/>
          </w:tcPr>
          <w:p>
            <w:pPr>
              <w:spacing w:before="40" w:after="40"/>
            </w:pPr>
            <w:r>
              <w:rPr>
                <w:b/>
                <w:i w:val="0"/>
                <w:sz w:val="17"/>
              </w:rPr>
              <w:t>Business Analysis</w:t>
            </w:r>
            <w:r>
              <w:rPr>
                <w:sz w:val="17"/>
              </w:rPr>
              <w:br/>
            </w:r>
            <w:r>
              <w:rPr>
                <w:b w:val="0"/>
                <w:i w:val="0"/>
                <w:sz w:val="17"/>
              </w:rPr>
              <w:t>F. Jones (lead) + 3</w:t>
            </w:r>
          </w:p>
        </w:tc>
        <w:tc>
          <w:tcPr>
            <w:tcW w:type="dxa" w:w="2412"/>
          </w:tcPr>
          <w:p>
            <w:pPr>
              <w:spacing w:before="40" w:after="40"/>
            </w:pPr>
            <w:r>
              <w:rPr>
                <w:b w:val="0"/>
                <w:i w:val="0"/>
                <w:sz w:val="17"/>
              </w:rPr>
              <w:t>4</w:t>
            </w:r>
          </w:p>
        </w:tc>
        <w:tc>
          <w:tcPr>
            <w:tcW w:type="dxa" w:w="2412"/>
          </w:tcPr>
          <w:p>
            <w:pPr>
              <w:spacing w:before="40" w:after="40"/>
            </w:pPr>
            <w:r>
              <w:rPr>
                <w:b w:val="0"/>
                <w:i w:val="0"/>
                <w:sz w:val="17"/>
              </w:rPr>
              <w:t>Requirements, the traceability spine, and the decision of when a requirement is understood well enough to build</w:t>
            </w:r>
          </w:p>
        </w:tc>
        <w:tc>
          <w:tcPr>
            <w:tcW w:type="dxa" w:w="2412"/>
          </w:tcPr>
          <w:p>
            <w:pPr>
              <w:spacing w:before="40" w:after="40"/>
            </w:pPr>
            <w:r>
              <w:rPr>
                <w:b w:val="0"/>
                <w:i w:val="0"/>
                <w:sz w:val="17"/>
              </w:rPr>
              <w:t xml:space="preserve">Whether a requirement is </w:t>
            </w:r>
            <w:r>
              <w:rPr>
                <w:b w:val="0"/>
                <w:i/>
                <w:sz w:val="17"/>
              </w:rPr>
              <w:t>wanted</w:t>
            </w:r>
            <w:r>
              <w:rPr>
                <w:b w:val="0"/>
                <w:i w:val="0"/>
                <w:sz w:val="17"/>
              </w:rPr>
              <w:t xml:space="preserve"> — that is the sponsor's</w:t>
            </w:r>
          </w:p>
        </w:tc>
      </w:tr>
      <w:tr>
        <w:tc>
          <w:tcPr>
            <w:tcW w:type="dxa" w:w="2412"/>
          </w:tcPr>
          <w:p>
            <w:pPr>
              <w:spacing w:before="40" w:after="40"/>
            </w:pPr>
            <w:r>
              <w:rPr>
                <w:b/>
                <w:i w:val="0"/>
                <w:sz w:val="17"/>
              </w:rPr>
              <w:t>Data Conversion</w:t>
            </w:r>
            <w:r>
              <w:rPr>
                <w:sz w:val="17"/>
              </w:rPr>
              <w:br/>
            </w:r>
            <w:r>
              <w:rPr>
                <w:b w:val="0"/>
                <w:i w:val="0"/>
                <w:sz w:val="17"/>
              </w:rPr>
              <w:t>T. McCormick (lead) + 2</w:t>
            </w:r>
          </w:p>
        </w:tc>
        <w:tc>
          <w:tcPr>
            <w:tcW w:type="dxa" w:w="2412"/>
          </w:tcPr>
          <w:p>
            <w:pPr>
              <w:spacing w:before="40" w:after="40"/>
            </w:pPr>
            <w:r>
              <w:rPr>
                <w:b w:val="0"/>
                <w:i w:val="0"/>
                <w:sz w:val="17"/>
              </w:rPr>
              <w:t>3</w:t>
            </w:r>
          </w:p>
        </w:tc>
        <w:tc>
          <w:tcPr>
            <w:tcW w:type="dxa" w:w="2412"/>
          </w:tcPr>
          <w:p>
            <w:pPr>
              <w:spacing w:before="40" w:after="40"/>
            </w:pPr>
            <w:r>
              <w:rPr>
                <w:b w:val="0"/>
                <w:i w:val="0"/>
                <w:sz w:val="17"/>
              </w:rPr>
              <w:t>Extract, transform, load, reconciliation, and the conversion dress rehearsals</w:t>
            </w:r>
          </w:p>
        </w:tc>
        <w:tc>
          <w:tcPr>
            <w:tcW w:type="dxa" w:w="2412"/>
          </w:tcPr>
          <w:p>
            <w:pPr>
              <w:spacing w:before="40" w:after="40"/>
            </w:pPr>
            <w:r>
              <w:rPr>
                <w:b w:val="0"/>
                <w:i w:val="0"/>
                <w:sz w:val="17"/>
              </w:rPr>
              <w:t>Source-system data quality, which is inherited and not fixable here</w:t>
            </w:r>
          </w:p>
        </w:tc>
      </w:tr>
      <w:tr>
        <w:tc>
          <w:tcPr>
            <w:tcW w:type="dxa" w:w="2412"/>
          </w:tcPr>
          <w:p>
            <w:pPr>
              <w:spacing w:before="40" w:after="40"/>
            </w:pPr>
            <w:r>
              <w:rPr>
                <w:b/>
                <w:i w:val="0"/>
                <w:sz w:val="17"/>
              </w:rPr>
              <w:t>Quality Engineering</w:t>
            </w:r>
            <w:r>
              <w:rPr>
                <w:sz w:val="17"/>
              </w:rPr>
              <w:br/>
            </w:r>
            <w:r>
              <w:rPr>
                <w:b w:val="0"/>
                <w:i w:val="0"/>
                <w:sz w:val="17"/>
              </w:rPr>
              <w:t>A. Ferreira + 5</w:t>
            </w:r>
          </w:p>
        </w:tc>
        <w:tc>
          <w:tcPr>
            <w:tcW w:type="dxa" w:w="2412"/>
          </w:tcPr>
          <w:p>
            <w:pPr>
              <w:spacing w:before="40" w:after="40"/>
            </w:pPr>
            <w:r>
              <w:rPr>
                <w:b w:val="0"/>
                <w:i w:val="0"/>
                <w:sz w:val="17"/>
              </w:rPr>
              <w:t>6</w:t>
            </w:r>
          </w:p>
        </w:tc>
        <w:tc>
          <w:tcPr>
            <w:tcW w:type="dxa" w:w="2412"/>
          </w:tcPr>
          <w:p>
            <w:pPr>
              <w:spacing w:before="40" w:after="40"/>
            </w:pPr>
            <w:r>
              <w:rPr>
                <w:b w:val="0"/>
                <w:i w:val="0"/>
                <w:sz w:val="17"/>
              </w:rPr>
              <w:t>Test strategy, execution, defect triage, and the go/no-go recommendation on quality</w:t>
            </w:r>
          </w:p>
        </w:tc>
        <w:tc>
          <w:tcPr>
            <w:tcW w:type="dxa" w:w="2412"/>
          </w:tcPr>
          <w:p>
            <w:pPr>
              <w:spacing w:before="40" w:after="40"/>
            </w:pPr>
            <w:r>
              <w:rPr>
                <w:b w:val="0"/>
                <w:i w:val="0"/>
                <w:sz w:val="17"/>
              </w:rPr>
              <w:t xml:space="preserve">The go/no-go </w:t>
            </w:r>
            <w:r>
              <w:rPr>
                <w:b w:val="0"/>
                <w:i/>
                <w:sz w:val="17"/>
              </w:rPr>
              <w:t>decision</w:t>
            </w:r>
            <w:r>
              <w:rPr>
                <w:b w:val="0"/>
                <w:i w:val="0"/>
                <w:sz w:val="17"/>
              </w:rPr>
              <w:t xml:space="preserve"> — that is the Steering Committee's</w:t>
            </w:r>
          </w:p>
        </w:tc>
      </w:tr>
      <w:tr>
        <w:tc>
          <w:tcPr>
            <w:tcW w:type="dxa" w:w="2412"/>
          </w:tcPr>
          <w:p>
            <w:pPr>
              <w:spacing w:before="40" w:after="40"/>
            </w:pPr>
            <w:r>
              <w:rPr>
                <w:b/>
                <w:i w:val="0"/>
                <w:sz w:val="17"/>
              </w:rPr>
              <w:t>Integration Development</w:t>
            </w:r>
            <w:r>
              <w:rPr>
                <w:sz w:val="17"/>
              </w:rPr>
              <w:br/>
            </w:r>
            <w:r>
              <w:rPr>
                <w:b w:val="0"/>
                <w:i w:val="0"/>
                <w:sz w:val="17"/>
              </w:rPr>
              <w:t>6 tracks</w:t>
            </w:r>
          </w:p>
        </w:tc>
        <w:tc>
          <w:tcPr>
            <w:tcW w:type="dxa" w:w="2412"/>
          </w:tcPr>
          <w:p>
            <w:pPr>
              <w:spacing w:before="40" w:after="40"/>
            </w:pPr>
            <w:r>
              <w:rPr>
                <w:b w:val="0"/>
                <w:i w:val="0"/>
                <w:sz w:val="17"/>
              </w:rPr>
              <w:t>15</w:t>
            </w:r>
          </w:p>
        </w:tc>
        <w:tc>
          <w:tcPr>
            <w:tcW w:type="dxa" w:w="2412"/>
          </w:tcPr>
          <w:p>
            <w:pPr>
              <w:spacing w:before="40" w:after="40"/>
            </w:pPr>
            <w:r>
              <w:rPr>
                <w:b w:val="0"/>
                <w:i w:val="0"/>
                <w:sz w:val="17"/>
              </w:rPr>
              <w:t>Build, unit test, and the technical design within each track</w:t>
            </w:r>
          </w:p>
        </w:tc>
        <w:tc>
          <w:tcPr>
            <w:tcW w:type="dxa" w:w="2412"/>
          </w:tcPr>
          <w:p>
            <w:pPr>
              <w:spacing w:before="40" w:after="40"/>
            </w:pPr>
            <w:r>
              <w:rPr>
                <w:b w:val="0"/>
                <w:i w:val="0"/>
                <w:sz w:val="17"/>
              </w:rPr>
              <w:t>Cross-track sequencing, which the Solution Architect holds</w:t>
            </w:r>
          </w:p>
        </w:tc>
      </w:tr>
      <w:tr>
        <w:tc>
          <w:tcPr>
            <w:tcW w:type="dxa" w:w="2412"/>
          </w:tcPr>
          <w:p>
            <w:pPr>
              <w:spacing w:before="40" w:after="40"/>
            </w:pPr>
            <w:r>
              <w:rPr>
                <w:b/>
                <w:i w:val="0"/>
                <w:sz w:val="17"/>
              </w:rPr>
              <w:t>Infrastructure / DevOps</w:t>
            </w:r>
            <w:r>
              <w:rPr>
                <w:sz w:val="17"/>
              </w:rPr>
              <w:br/>
            </w:r>
            <w:r>
              <w:rPr>
                <w:b w:val="0"/>
                <w:i w:val="0"/>
                <w:sz w:val="17"/>
              </w:rPr>
              <w:t>T. Halvorsen + 2</w:t>
            </w:r>
          </w:p>
        </w:tc>
        <w:tc>
          <w:tcPr>
            <w:tcW w:type="dxa" w:w="2412"/>
          </w:tcPr>
          <w:p>
            <w:pPr>
              <w:spacing w:before="40" w:after="40"/>
            </w:pPr>
            <w:r>
              <w:rPr>
                <w:b w:val="0"/>
                <w:i w:val="0"/>
                <w:sz w:val="17"/>
              </w:rPr>
              <w:t>3</w:t>
            </w:r>
          </w:p>
        </w:tc>
        <w:tc>
          <w:tcPr>
            <w:tcW w:type="dxa" w:w="2412"/>
          </w:tcPr>
          <w:p>
            <w:pPr>
              <w:spacing w:before="40" w:after="40"/>
            </w:pPr>
            <w:r>
              <w:rPr>
                <w:b w:val="0"/>
                <w:i w:val="0"/>
                <w:sz w:val="17"/>
              </w:rPr>
              <w:t>Environments, pipelines, cutover mechanics</w:t>
            </w:r>
          </w:p>
        </w:tc>
        <w:tc>
          <w:tcPr>
            <w:tcW w:type="dxa" w:w="2412"/>
          </w:tcPr>
          <w:p>
            <w:pPr>
              <w:spacing w:before="40" w:after="40"/>
            </w:pPr>
            <w:r>
              <w:rPr>
                <w:b w:val="0"/>
                <w:i w:val="0"/>
                <w:sz w:val="17"/>
              </w:rPr>
              <w:t>Production change windows, which Technology Operations controls</w:t>
            </w:r>
          </w:p>
        </w:tc>
      </w:tr>
      <w:tr>
        <w:tc>
          <w:tcPr>
            <w:tcW w:type="dxa" w:w="2412"/>
          </w:tcPr>
          <w:p>
            <w:pPr>
              <w:spacing w:before="40" w:after="40"/>
            </w:pPr>
            <w:r>
              <w:rPr>
                <w:b/>
                <w:i w:val="0"/>
                <w:sz w:val="17"/>
              </w:rPr>
              <w:t>Organizational Change</w:t>
            </w:r>
            <w:r>
              <w:rPr>
                <w:sz w:val="17"/>
              </w:rPr>
              <w:br/>
            </w:r>
            <w:r>
              <w:rPr>
                <w:b w:val="0"/>
                <w:i w:val="0"/>
                <w:sz w:val="17"/>
              </w:rPr>
              <w:t>L. Bergström</w:t>
            </w:r>
          </w:p>
        </w:tc>
        <w:tc>
          <w:tcPr>
            <w:tcW w:type="dxa" w:w="2412"/>
          </w:tcPr>
          <w:p>
            <w:pPr>
              <w:spacing w:before="40" w:after="40"/>
            </w:pPr>
            <w:r>
              <w:rPr>
                <w:b w:val="0"/>
                <w:i w:val="0"/>
                <w:sz w:val="17"/>
              </w:rPr>
              <w:t>1</w:t>
            </w:r>
          </w:p>
        </w:tc>
        <w:tc>
          <w:tcPr>
            <w:tcW w:type="dxa" w:w="2412"/>
          </w:tcPr>
          <w:p>
            <w:pPr>
              <w:spacing w:before="40" w:after="40"/>
            </w:pPr>
            <w:r>
              <w:rPr>
                <w:b w:val="0"/>
                <w:i w:val="0"/>
                <w:sz w:val="17"/>
              </w:rPr>
              <w:t>Impact assessment, comms, training design, readiness measurement</w:t>
            </w:r>
          </w:p>
        </w:tc>
        <w:tc>
          <w:tcPr>
            <w:tcW w:type="dxa" w:w="2412"/>
          </w:tcPr>
          <w:p>
            <w:pPr>
              <w:spacing w:before="40" w:after="40"/>
            </w:pPr>
            <w:r>
              <w:rPr>
                <w:b w:val="0"/>
                <w:i w:val="0"/>
                <w:sz w:val="17"/>
              </w:rPr>
              <w:t>Whether the business is actually ready — it reports that, it cannot create it</w:t>
            </w:r>
          </w:p>
        </w:tc>
      </w:tr>
      <w:tr>
        <w:tc>
          <w:tcPr>
            <w:tcW w:type="dxa" w:w="2412"/>
          </w:tcPr>
          <w:p>
            <w:pPr>
              <w:spacing w:before="40" w:after="40"/>
            </w:pPr>
            <w:r>
              <w:rPr>
                <w:b/>
                <w:i w:val="0"/>
                <w:sz w:val="17"/>
              </w:rPr>
              <w:t>Customer Experience</w:t>
            </w:r>
            <w:r>
              <w:rPr>
                <w:sz w:val="17"/>
              </w:rPr>
              <w:br/>
            </w:r>
            <w:r>
              <w:rPr>
                <w:b w:val="0"/>
                <w:i w:val="0"/>
                <w:sz w:val="17"/>
              </w:rPr>
              <w:t>V. Alaoui</w:t>
            </w:r>
          </w:p>
        </w:tc>
        <w:tc>
          <w:tcPr>
            <w:tcW w:type="dxa" w:w="2412"/>
          </w:tcPr>
          <w:p>
            <w:pPr>
              <w:spacing w:before="40" w:after="40"/>
            </w:pPr>
            <w:r>
              <w:rPr>
                <w:b w:val="0"/>
                <w:i w:val="0"/>
                <w:sz w:val="17"/>
              </w:rPr>
              <w:t>1 (PT)</w:t>
            </w:r>
          </w:p>
        </w:tc>
        <w:tc>
          <w:tcPr>
            <w:tcW w:type="dxa" w:w="2412"/>
          </w:tcPr>
          <w:p>
            <w:pPr>
              <w:spacing w:before="40" w:after="40"/>
            </w:pPr>
            <w:r>
              <w:rPr>
                <w:b w:val="0"/>
                <w:i w:val="0"/>
                <w:sz w:val="17"/>
              </w:rPr>
              <w:t>Member-facing journey design and the voice of the end user</w:t>
            </w:r>
          </w:p>
        </w:tc>
        <w:tc>
          <w:tcPr>
            <w:tcW w:type="dxa" w:w="2412"/>
          </w:tcPr>
          <w:p>
            <w:pPr>
              <w:spacing w:before="40" w:after="40"/>
            </w:pPr>
            <w:r>
              <w:rPr>
                <w:b w:val="0"/>
                <w:i w:val="0"/>
                <w:sz w:val="17"/>
              </w:rPr>
              <w:t>Scope prioritization</w:t>
            </w:r>
          </w:p>
        </w:tc>
      </w:tr>
      <w:tr>
        <w:tc>
          <w:tcPr>
            <w:tcW w:type="dxa" w:w="2412"/>
          </w:tcPr>
          <w:p>
            <w:pPr>
              <w:spacing w:before="40" w:after="40"/>
            </w:pPr>
            <w:r>
              <w:rPr>
                <w:b/>
                <w:i w:val="0"/>
                <w:sz w:val="17"/>
              </w:rPr>
              <w:t>Internal Audit / SOX</w:t>
            </w:r>
            <w:r>
              <w:rPr>
                <w:sz w:val="17"/>
              </w:rPr>
              <w:br/>
            </w:r>
            <w:r>
              <w:rPr>
                <w:b w:val="0"/>
                <w:i w:val="0"/>
                <w:sz w:val="17"/>
              </w:rPr>
              <w:t>G. Fenwick, K. Ibrahim</w:t>
            </w:r>
          </w:p>
        </w:tc>
        <w:tc>
          <w:tcPr>
            <w:tcW w:type="dxa" w:w="2412"/>
          </w:tcPr>
          <w:p>
            <w:pPr>
              <w:spacing w:before="40" w:after="40"/>
            </w:pPr>
            <w:r>
              <w:rPr>
                <w:b w:val="0"/>
                <w:i w:val="0"/>
                <w:sz w:val="17"/>
              </w:rPr>
              <w:t>2</w:t>
            </w:r>
          </w:p>
        </w:tc>
        <w:tc>
          <w:tcPr>
            <w:tcW w:type="dxa" w:w="2412"/>
          </w:tcPr>
          <w:p>
            <w:pPr>
              <w:spacing w:before="40" w:after="40"/>
            </w:pPr>
            <w:r>
              <w:rPr>
                <w:b w:val="0"/>
                <w:i w:val="0"/>
                <w:sz w:val="17"/>
              </w:rPr>
              <w:t>Control design testing and the audit opinion</w:t>
            </w:r>
          </w:p>
        </w:tc>
        <w:tc>
          <w:tcPr>
            <w:tcW w:type="dxa" w:w="2412"/>
          </w:tcPr>
          <w:p>
            <w:pPr>
              <w:spacing w:before="40" w:after="40"/>
            </w:pPr>
            <w:r>
              <w:rPr>
                <w:b w:val="0"/>
                <w:i w:val="0"/>
                <w:sz w:val="17"/>
              </w:rPr>
              <w:t>— see §5</w:t>
            </w:r>
          </w:p>
        </w:tc>
      </w:tr>
    </w:tbl>
    <w:p/>
    <w:p>
      <w:pPr>
        <w:spacing w:before="280" w:after="80"/>
      </w:pPr>
      <w:r>
        <w:rPr>
          <w:b/>
          <w:i w:val="0"/>
          <w:color w:val="14352A"/>
          <w:sz w:val="28"/>
        </w:rPr>
        <w:t>3. Governance — Who Decides</w:t>
      </w:r>
    </w:p>
    <w:p>
      <w:pPr>
        <w:spacing w:after="120"/>
      </w:pPr>
      <w:r>
        <w:rPr>
          <w:b w:val="0"/>
          <w:i w:val="0"/>
          <w:sz w:val="20"/>
        </w:rPr>
        <w:t>Three tiers, and the distinction between them is the size of what is being changed rather than the seniority of who is asking.</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Body</w:t>
            </w:r>
          </w:p>
        </w:tc>
        <w:tc>
          <w:tcPr>
            <w:tcW w:type="dxa" w:w="2412"/>
            <w:shd w:val="clear" w:fill="14352A"/>
          </w:tcPr>
          <w:p>
            <w:pPr>
              <w:spacing w:before="40" w:after="40"/>
            </w:pPr>
            <w:r>
              <w:rPr>
                <w:b/>
                <w:i w:val="0"/>
                <w:color w:val="FFFFFF"/>
                <w:sz w:val="17"/>
              </w:rPr>
              <w:t>Chaired by</w:t>
            </w:r>
          </w:p>
        </w:tc>
        <w:tc>
          <w:tcPr>
            <w:tcW w:type="dxa" w:w="2412"/>
            <w:shd w:val="clear" w:fill="14352A"/>
          </w:tcPr>
          <w:p>
            <w:pPr>
              <w:spacing w:before="40" w:after="40"/>
            </w:pPr>
            <w:r>
              <w:rPr>
                <w:b/>
                <w:i w:val="0"/>
                <w:color w:val="FFFFFF"/>
                <w:sz w:val="17"/>
              </w:rPr>
              <w:t>Decides</w:t>
            </w:r>
          </w:p>
        </w:tc>
        <w:tc>
          <w:tcPr>
            <w:tcW w:type="dxa" w:w="2412"/>
            <w:shd w:val="clear" w:fill="14352A"/>
          </w:tcPr>
          <w:p>
            <w:pPr>
              <w:spacing w:before="40" w:after="40"/>
            </w:pPr>
            <w:r>
              <w:rPr>
                <w:b/>
                <w:i w:val="0"/>
                <w:color w:val="FFFFFF"/>
                <w:sz w:val="17"/>
              </w:rPr>
              <w:t>Cadence</w:t>
            </w:r>
          </w:p>
        </w:tc>
      </w:tr>
      <w:tr>
        <w:tc>
          <w:tcPr>
            <w:tcW w:type="dxa" w:w="2412"/>
          </w:tcPr>
          <w:p>
            <w:pPr>
              <w:spacing w:before="40" w:after="40"/>
            </w:pPr>
            <w:r>
              <w:rPr>
                <w:b w:val="0"/>
                <w:i w:val="0"/>
                <w:sz w:val="17"/>
              </w:rPr>
              <w:t>Steering Committee</w:t>
            </w:r>
          </w:p>
        </w:tc>
        <w:tc>
          <w:tcPr>
            <w:tcW w:type="dxa" w:w="2412"/>
          </w:tcPr>
          <w:p>
            <w:pPr>
              <w:spacing w:before="40" w:after="40"/>
            </w:pPr>
            <w:r>
              <w:rPr>
                <w:b w:val="0"/>
                <w:i w:val="0"/>
                <w:sz w:val="17"/>
              </w:rPr>
              <w:t>G. Whitfield, Executive Sponsor</w:t>
            </w:r>
          </w:p>
        </w:tc>
        <w:tc>
          <w:tcPr>
            <w:tcW w:type="dxa" w:w="2412"/>
          </w:tcPr>
          <w:p>
            <w:pPr>
              <w:spacing w:before="40" w:after="40"/>
            </w:pPr>
            <w:r>
              <w:rPr>
                <w:b w:val="0"/>
                <w:i w:val="0"/>
                <w:sz w:val="17"/>
              </w:rPr>
              <w:t>Anything touching the cost baseline, the go-live date, or a compliance-relevant commitment</w:t>
            </w:r>
          </w:p>
        </w:tc>
        <w:tc>
          <w:tcPr>
            <w:tcW w:type="dxa" w:w="2412"/>
          </w:tcPr>
          <w:p>
            <w:pPr>
              <w:spacing w:before="40" w:after="40"/>
            </w:pPr>
            <w:r>
              <w:rPr>
                <w:b w:val="0"/>
                <w:i w:val="0"/>
                <w:sz w:val="17"/>
              </w:rPr>
              <w:t>Monthly, plus on demand</w:t>
            </w:r>
          </w:p>
        </w:tc>
      </w:tr>
      <w:tr>
        <w:tc>
          <w:tcPr>
            <w:tcW w:type="dxa" w:w="2412"/>
          </w:tcPr>
          <w:p>
            <w:pPr>
              <w:spacing w:before="40" w:after="40"/>
            </w:pPr>
            <w:r>
              <w:rPr>
                <w:b w:val="0"/>
                <w:i w:val="0"/>
                <w:sz w:val="17"/>
              </w:rPr>
              <w:t>Change Control Board</w:t>
            </w:r>
          </w:p>
        </w:tc>
        <w:tc>
          <w:tcPr>
            <w:tcW w:type="dxa" w:w="2412"/>
          </w:tcPr>
          <w:p>
            <w:pPr>
              <w:spacing w:before="40" w:after="40"/>
            </w:pPr>
            <w:r>
              <w:rPr>
                <w:b w:val="0"/>
                <w:i w:val="0"/>
                <w:sz w:val="17"/>
              </w:rPr>
              <w:t>C. Tyrrell (chair, no vote)</w:t>
            </w:r>
          </w:p>
        </w:tc>
        <w:tc>
          <w:tcPr>
            <w:tcW w:type="dxa" w:w="2412"/>
          </w:tcPr>
          <w:p>
            <w:pPr>
              <w:spacing w:before="40" w:after="40"/>
            </w:pPr>
            <w:r>
              <w:rPr>
                <w:b w:val="0"/>
                <w:i w:val="0"/>
                <w:sz w:val="17"/>
              </w:rPr>
              <w:t>Change requests within the approved envelope; recommends the rest upward</w:t>
            </w:r>
          </w:p>
        </w:tc>
        <w:tc>
          <w:tcPr>
            <w:tcW w:type="dxa" w:w="2412"/>
          </w:tcPr>
          <w:p>
            <w:pPr>
              <w:spacing w:before="40" w:after="40"/>
            </w:pPr>
            <w:r>
              <w:rPr>
                <w:b w:val="0"/>
                <w:i w:val="0"/>
                <w:sz w:val="17"/>
              </w:rPr>
              <w:t>Weekly</w:t>
            </w:r>
          </w:p>
        </w:tc>
      </w:tr>
      <w:tr>
        <w:tc>
          <w:tcPr>
            <w:tcW w:type="dxa" w:w="2412"/>
          </w:tcPr>
          <w:p>
            <w:pPr>
              <w:spacing w:before="40" w:after="40"/>
            </w:pPr>
            <w:r>
              <w:rPr>
                <w:b w:val="0"/>
                <w:i w:val="0"/>
                <w:sz w:val="17"/>
              </w:rPr>
              <w:t>Program Manager</w:t>
            </w:r>
          </w:p>
        </w:tc>
        <w:tc>
          <w:tcPr>
            <w:tcW w:type="dxa" w:w="2412"/>
          </w:tcPr>
          <w:p>
            <w:pPr>
              <w:spacing w:before="40" w:after="40"/>
            </w:pPr>
            <w:r>
              <w:rPr>
                <w:b w:val="0"/>
                <w:i w:val="0"/>
                <w:sz w:val="17"/>
              </w:rPr>
              <w:t>—</w:t>
            </w:r>
          </w:p>
        </w:tc>
        <w:tc>
          <w:tcPr>
            <w:tcW w:type="dxa" w:w="2412"/>
          </w:tcPr>
          <w:p>
            <w:pPr>
              <w:spacing w:before="40" w:after="40"/>
            </w:pPr>
            <w:r>
              <w:rPr>
                <w:b w:val="0"/>
                <w:i w:val="0"/>
                <w:sz w:val="17"/>
              </w:rPr>
              <w:t>Sequencing, resourcing within the approved envelope, and anything reversible inside a sprint</w:t>
            </w:r>
          </w:p>
        </w:tc>
        <w:tc>
          <w:tcPr>
            <w:tcW w:type="dxa" w:w="2412"/>
          </w:tcPr>
          <w:p>
            <w:pPr>
              <w:spacing w:before="40" w:after="40"/>
            </w:pPr>
            <w:r>
              <w:rPr>
                <w:b w:val="0"/>
                <w:i w:val="0"/>
                <w:sz w:val="17"/>
              </w:rPr>
              <w:t>Continuous</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chair does not vote.</w:t>
            </w:r>
            <w:r>
              <w:rPr>
                <w:b w:val="0"/>
                <w:i w:val="0"/>
                <w:sz w:val="20"/>
              </w:rPr>
              <w:t xml:space="preserve"> C. Tyrrell chairs the Change Control Board and has no vote on it. A chair who votes is a participant with an agenda and the meeting stops being a control. The same convention runs through every suite in this portfolio.</w:t>
            </w:r>
          </w:p>
        </w:tc>
      </w:tr>
    </w:tbl>
    <w:p/>
    <w:p>
      <w:pPr>
        <w:spacing w:before="280" w:after="80"/>
      </w:pPr>
      <w:r>
        <w:rPr>
          <w:b/>
          <w:i w:val="0"/>
          <w:color w:val="14352A"/>
          <w:sz w:val="28"/>
        </w:rPr>
        <w:t>4. The Functions, One at a Time</w:t>
      </w:r>
    </w:p>
    <w:p>
      <w:pPr>
        <w:spacing w:after="120"/>
      </w:pPr>
      <w:r>
        <w:rPr>
          <w:b/>
          <w:i w:val="0"/>
          <w:sz w:val="20"/>
        </w:rPr>
        <w:t>Business Analysis</w:t>
      </w:r>
      <w:r>
        <w:rPr>
          <w:b w:val="0"/>
          <w:i w:val="0"/>
          <w:sz w:val="20"/>
        </w:rPr>
        <w:t xml:space="preserve"> owns the requirement, not the want. F. Jones's team decides when a requirement is specified well enough to hand to a developer; the sponsor decides whether it should exist. Conflating those two is the most common failure in requirements work — an analyst who starts adjudicating </w:t>
      </w:r>
      <w:r>
        <w:rPr>
          <w:b w:val="0"/>
          <w:i/>
          <w:sz w:val="20"/>
        </w:rPr>
        <w:t>whether</w:t>
      </w:r>
      <w:r>
        <w:rPr>
          <w:b w:val="0"/>
          <w:i w:val="0"/>
          <w:sz w:val="20"/>
        </w:rPr>
        <w:t xml:space="preserve"> has stopped being an analyst.</w:t>
      </w:r>
    </w:p>
    <w:p>
      <w:pPr>
        <w:spacing w:after="120"/>
      </w:pPr>
      <w:r>
        <w:rPr>
          <w:b/>
          <w:i w:val="0"/>
          <w:sz w:val="20"/>
        </w:rPr>
        <w:t>Data Conversion</w:t>
      </w:r>
      <w:r>
        <w:rPr>
          <w:b w:val="0"/>
          <w:i w:val="0"/>
          <w:sz w:val="20"/>
        </w:rPr>
        <w:t xml:space="preserve"> carries a burden the others do not: </w:t>
      </w:r>
      <w:r>
        <w:rPr>
          <w:b/>
          <w:i w:val="0"/>
          <w:sz w:val="20"/>
        </w:rPr>
        <w:t>it inherits its inputs.</w:t>
      </w:r>
      <w:r>
        <w:rPr>
          <w:b w:val="0"/>
          <w:i w:val="0"/>
          <w:sz w:val="20"/>
        </w:rPr>
        <w:t xml:space="preserve"> T. McCormick's team can find and report source-data defects, and can build reconciliation to prove what moved, but it cannot fix a legacy record that was wrong when it was written in 2009. Conversion scope has to be stated as </w:t>
      </w:r>
      <w:r>
        <w:rPr>
          <w:b w:val="0"/>
          <w:i/>
          <w:sz w:val="20"/>
        </w:rPr>
        <w:t>what will be reconciled</w:t>
      </w:r>
      <w:r>
        <w:rPr>
          <w:b w:val="0"/>
          <w:i w:val="0"/>
          <w:sz w:val="20"/>
        </w:rPr>
        <w:t xml:space="preserve">, never as </w:t>
      </w:r>
      <w:r>
        <w:rPr>
          <w:b w:val="0"/>
          <w:i/>
          <w:sz w:val="20"/>
        </w:rPr>
        <w:t>what will be correct</w:t>
      </w:r>
      <w:r>
        <w:rPr>
          <w:b w:val="0"/>
          <w:i w:val="0"/>
          <w:sz w:val="20"/>
        </w:rPr>
        <w:t>.</w:t>
      </w:r>
    </w:p>
    <w:p>
      <w:pPr>
        <w:spacing w:after="120"/>
      </w:pPr>
      <w:r>
        <w:rPr>
          <w:b/>
          <w:i w:val="0"/>
          <w:sz w:val="20"/>
        </w:rPr>
        <w:t>Quality Engineering</w:t>
      </w:r>
      <w:r>
        <w:rPr>
          <w:b w:val="0"/>
          <w:i w:val="0"/>
          <w:sz w:val="20"/>
        </w:rPr>
        <w:t xml:space="preserve"> recommends; it does not decide. A. Ferreira's team gives a quality recommendation at each gate, and the Steering Committee decides whether to accept the residual risk. </w:t>
      </w:r>
      <w:r>
        <w:rPr>
          <w:b/>
          <w:i w:val="0"/>
          <w:sz w:val="20"/>
        </w:rPr>
        <w:t>Separating the recommendation from the decision is what stops testing being pressured</w:t>
      </w:r>
      <w:r>
        <w:rPr>
          <w:b w:val="0"/>
          <w:i w:val="0"/>
          <w:sz w:val="20"/>
        </w:rPr>
        <w:t xml:space="preserve"> — the team is never in the position of having to approve a date it does not believe in.</w:t>
      </w:r>
    </w:p>
    <w:p>
      <w:pPr>
        <w:spacing w:after="120"/>
      </w:pPr>
      <w:r>
        <w:rPr>
          <w:b/>
          <w:i w:val="0"/>
          <w:sz w:val="20"/>
        </w:rPr>
        <w:t>Integration Development</w:t>
      </w:r>
      <w:r>
        <w:rPr>
          <w:b w:val="0"/>
          <w:i w:val="0"/>
          <w:sz w:val="20"/>
        </w:rPr>
        <w:t xml:space="preserve"> is 15 people across six tracks, and the tracks are where the real coordination cost sits. Each track owns its own technical design. What no track owns is the </w:t>
      </w:r>
      <w:r>
        <w:rPr>
          <w:b w:val="0"/>
          <w:i/>
          <w:sz w:val="20"/>
        </w:rPr>
        <w:t>order</w:t>
      </w:r>
      <w:r>
        <w:rPr>
          <w:b w:val="0"/>
          <w:i w:val="0"/>
          <w:sz w:val="20"/>
        </w:rPr>
        <w:t xml:space="preserve"> in which tracks integrate, which is the Solution Architect's, because a decision that optimizes one track routinely damages another.</w:t>
      </w:r>
    </w:p>
    <w:p>
      <w:pPr>
        <w:spacing w:after="120"/>
      </w:pPr>
      <w:r>
        <w:rPr>
          <w:b/>
          <w:i w:val="0"/>
          <w:sz w:val="20"/>
        </w:rPr>
        <w:t>Organizational Change</w:t>
      </w:r>
      <w:r>
        <w:rPr>
          <w:b w:val="0"/>
          <w:i w:val="0"/>
          <w:sz w:val="20"/>
        </w:rPr>
        <w:t xml:space="preserve"> measures readiness; it does not manufacture it. L. Bergström can report that Claims Operations is not ready. If the answer to that report is to change the report, the function has been neutralized.</w:t>
      </w:r>
    </w:p>
    <w:p>
      <w:pPr>
        <w:spacing w:before="280" w:after="80"/>
      </w:pPr>
      <w:r>
        <w:rPr>
          <w:b/>
          <w:i w:val="0"/>
          <w:color w:val="14352A"/>
          <w:sz w:val="28"/>
        </w:rPr>
        <w:t>5. The Bodies the Program Cannot Instruct</w:t>
      </w:r>
    </w:p>
    <w:p>
      <w:pPr>
        <w:spacing w:after="120"/>
      </w:pPr>
      <w:r>
        <w:rPr>
          <w:b w:val="0"/>
          <w:i w:val="0"/>
          <w:sz w:val="20"/>
        </w:rPr>
        <w:t>Two, and both matter more than their headcount suggests.</w:t>
      </w:r>
    </w:p>
    <w:p>
      <w:pPr>
        <w:spacing w:after="120"/>
      </w:pPr>
      <w:r>
        <w:rPr>
          <w:b/>
          <w:i w:val="0"/>
          <w:sz w:val="20"/>
        </w:rPr>
        <w:t>Internal Audit / SOX (G. Fenwick, K. Ibrahim).</w:t>
      </w:r>
      <w:r>
        <w:rPr>
          <w:b w:val="0"/>
          <w:i w:val="0"/>
          <w:sz w:val="20"/>
        </w:rPr>
        <w:t xml:space="preserve"> They appear in the resource register under the Program Manager, and that line is administrative only. </w:t>
      </w:r>
      <w:r>
        <w:rPr>
          <w:b/>
          <w:i w:val="0"/>
          <w:sz w:val="20"/>
        </w:rPr>
        <w:t>The program cannot direct a finding, soften a finding, or set the scope of control testing.</w:t>
      </w:r>
      <w:r>
        <w:rPr>
          <w:b w:val="0"/>
          <w:i w:val="0"/>
          <w:sz w:val="20"/>
        </w:rPr>
        <w:t xml:space="preserve"> When CR-012 proposed deferring SOX control testing until after go-live, the request went to the Executive Sponsor with Internal Audit's position attached, and was declined — see the </w:t>
      </w:r>
      <w:r>
        <w:rPr>
          <w:b w:val="0"/>
          <w:i w:val="0"/>
          <w:sz w:val="20"/>
        </w:rPr>
        <w:t>Change Control Log</w:t>
      </w:r>
      <w:r>
        <w:rPr>
          <w:b w:val="0"/>
          <w:i w:val="0"/>
          <w:sz w:val="20"/>
        </w:rPr>
        <w:t>. That is the arrangement working: the program asked, and the answer was not the program's to give.</w:t>
      </w:r>
    </w:p>
    <w:p>
      <w:pPr>
        <w:spacing w:after="120"/>
      </w:pPr>
      <w:r>
        <w:rPr>
          <w:b/>
          <w:i w:val="0"/>
          <w:sz w:val="20"/>
        </w:rPr>
        <w:t>The Steering Committee.</w:t>
      </w:r>
      <w:r>
        <w:rPr>
          <w:b w:val="0"/>
          <w:i w:val="0"/>
          <w:sz w:val="20"/>
        </w:rPr>
        <w:t xml:space="preserve"> The program serves it, briefs it, and recommends to it. It does not manage it, and cannot decide on its behalf between meetings. A program that starts making steering-level calls because the meeting is three weeks away has quietly changed its own governance without telling anyone.</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A useful test.</w:t>
            </w:r>
            <w:r>
              <w:rPr>
                <w:b w:val="0"/>
                <w:i w:val="0"/>
                <w:sz w:val="20"/>
              </w:rPr>
              <w:t xml:space="preserve"> If the program can change the answer by asking harder, it was never an independent function. Both bodies above fail that test deliberately.</w:t>
            </w:r>
          </w:p>
        </w:tc>
      </w:tr>
    </w:tbl>
    <w:p/>
    <w:p>
      <w:pPr>
        <w:spacing w:before="280" w:after="80"/>
      </w:pPr>
      <w:r>
        <w:rPr>
          <w:b/>
          <w:i w:val="0"/>
          <w:color w:val="14352A"/>
          <w:sz w:val="28"/>
        </w:rPr>
        <w:t>6. The External Organizations</w:t>
      </w:r>
    </w:p>
    <w:p>
      <w:pPr>
        <w:spacing w:after="120"/>
      </w:pPr>
      <w:r>
        <w:rPr>
          <w:b w:val="0"/>
          <w:i w:val="0"/>
          <w:sz w:val="20"/>
        </w:rPr>
        <w:t xml:space="preserve">Three of the six QA testers (V. Rao, S. Banerjee, N. Fernandes) work offshore through a vendor. ⚠ </w:t>
      </w:r>
      <w:r>
        <w:rPr>
          <w:b/>
          <w:i w:val="0"/>
          <w:sz w:val="20"/>
        </w:rPr>
        <w:t>They are not simply cheaper capacity.</w:t>
      </w:r>
      <w:r>
        <w:rPr>
          <w:b w:val="0"/>
          <w:i w:val="0"/>
          <w:sz w:val="20"/>
        </w:rPr>
        <w:t xml:space="preserve"> PHI-handling constraints require every offshore- executed case that touches member data to be reviewed onshore, so offshore execution consumes onshore review capacity at a fixed ratio. This is exactly why CR-011 — a request to triple offshore throughput — was declined: </w:t>
      </w:r>
      <w:r>
        <w:rPr>
          <w:b/>
          <w:i w:val="0"/>
          <w:sz w:val="20"/>
        </w:rPr>
        <w:t>the constraint was review capacity, not execution hours.</w:t>
      </w:r>
    </w:p>
    <w:p>
      <w:pPr>
        <w:spacing w:after="120"/>
      </w:pPr>
      <w:r>
        <w:rPr>
          <w:b w:val="0"/>
          <w:i w:val="0"/>
          <w:sz w:val="20"/>
        </w:rPr>
        <w:t>The platform vendor sits outside this structure entirely. The program has a contract, not authority: vendor priorities are set by the vendor's own commercial planning, and the only levers are contractual and relational.</w:t>
      </w:r>
    </w:p>
    <w:p>
      <w:pPr>
        <w:spacing w:before="280" w:after="80"/>
      </w:pPr>
      <w:r>
        <w:rPr>
          <w:b/>
          <w:i w:val="0"/>
          <w:color w:val="14352A"/>
          <w:sz w:val="28"/>
        </w:rPr>
        <w:t>7. Who Decides What</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Decision</w:t>
            </w:r>
          </w:p>
        </w:tc>
        <w:tc>
          <w:tcPr>
            <w:tcW w:type="dxa" w:w="2412"/>
            <w:shd w:val="clear" w:fill="14352A"/>
          </w:tcPr>
          <w:p>
            <w:pPr>
              <w:spacing w:before="40" w:after="40"/>
            </w:pPr>
            <w:r>
              <w:rPr>
                <w:b/>
                <w:i w:val="0"/>
                <w:color w:val="FFFFFF"/>
                <w:sz w:val="17"/>
              </w:rPr>
              <w:t>Recommends</w:t>
            </w:r>
          </w:p>
        </w:tc>
        <w:tc>
          <w:tcPr>
            <w:tcW w:type="dxa" w:w="2412"/>
            <w:shd w:val="clear" w:fill="14352A"/>
          </w:tcPr>
          <w:p>
            <w:pPr>
              <w:spacing w:before="40" w:after="40"/>
            </w:pPr>
            <w:r>
              <w:rPr>
                <w:b/>
                <w:i w:val="0"/>
                <w:color w:val="FFFFFF"/>
                <w:sz w:val="17"/>
              </w:rPr>
              <w:t>Decides</w:t>
            </w:r>
          </w:p>
        </w:tc>
        <w:tc>
          <w:tcPr>
            <w:tcW w:type="dxa" w:w="2412"/>
            <w:shd w:val="clear" w:fill="14352A"/>
          </w:tcPr>
          <w:p>
            <w:pPr>
              <w:spacing w:before="40" w:after="40"/>
            </w:pPr>
            <w:r>
              <w:rPr>
                <w:b/>
                <w:i w:val="0"/>
                <w:color w:val="FFFFFF"/>
                <w:sz w:val="17"/>
              </w:rPr>
              <w:t>Cannot decide</w:t>
            </w:r>
          </w:p>
        </w:tc>
      </w:tr>
      <w:tr>
        <w:tc>
          <w:tcPr>
            <w:tcW w:type="dxa" w:w="2412"/>
          </w:tcPr>
          <w:p>
            <w:pPr>
              <w:spacing w:before="40" w:after="40"/>
            </w:pPr>
            <w:r>
              <w:rPr>
                <w:b w:val="0"/>
                <w:i w:val="0"/>
                <w:sz w:val="17"/>
              </w:rPr>
              <w:t>A requirement is ready to build</w:t>
            </w:r>
          </w:p>
        </w:tc>
        <w:tc>
          <w:tcPr>
            <w:tcW w:type="dxa" w:w="2412"/>
          </w:tcPr>
          <w:p>
            <w:pPr>
              <w:spacing w:before="40" w:after="40"/>
            </w:pPr>
            <w:r>
              <w:rPr>
                <w:b w:val="0"/>
                <w:i w:val="0"/>
                <w:sz w:val="17"/>
              </w:rPr>
              <w:t>Business Analysis</w:t>
            </w:r>
          </w:p>
        </w:tc>
        <w:tc>
          <w:tcPr>
            <w:tcW w:type="dxa" w:w="2412"/>
          </w:tcPr>
          <w:p>
            <w:pPr>
              <w:spacing w:before="40" w:after="40"/>
            </w:pPr>
            <w:r>
              <w:rPr>
                <w:b w:val="0"/>
                <w:i w:val="0"/>
                <w:sz w:val="17"/>
              </w:rPr>
              <w:t>Business Analysis</w:t>
            </w:r>
          </w:p>
        </w:tc>
        <w:tc>
          <w:tcPr>
            <w:tcW w:type="dxa" w:w="2412"/>
          </w:tcPr>
          <w:p>
            <w:pPr>
              <w:spacing w:before="40" w:after="40"/>
            </w:pPr>
            <w:r>
              <w:rPr>
                <w:b w:val="0"/>
                <w:i w:val="0"/>
                <w:sz w:val="17"/>
              </w:rPr>
              <w:t>Whether it is in scope</w:t>
            </w:r>
          </w:p>
        </w:tc>
      </w:tr>
      <w:tr>
        <w:tc>
          <w:tcPr>
            <w:tcW w:type="dxa" w:w="2412"/>
          </w:tcPr>
          <w:p>
            <w:pPr>
              <w:spacing w:before="40" w:after="40"/>
            </w:pPr>
            <w:r>
              <w:rPr>
                <w:b w:val="0"/>
                <w:i w:val="0"/>
                <w:sz w:val="17"/>
              </w:rPr>
              <w:t>Scope change within envelope</w:t>
            </w:r>
          </w:p>
        </w:tc>
        <w:tc>
          <w:tcPr>
            <w:tcW w:type="dxa" w:w="2412"/>
          </w:tcPr>
          <w:p>
            <w:pPr>
              <w:spacing w:before="40" w:after="40"/>
            </w:pPr>
            <w:r>
              <w:rPr>
                <w:b w:val="0"/>
                <w:i w:val="0"/>
                <w:sz w:val="17"/>
              </w:rPr>
              <w:t>Program Manager</w:t>
            </w:r>
          </w:p>
        </w:tc>
        <w:tc>
          <w:tcPr>
            <w:tcW w:type="dxa" w:w="2412"/>
          </w:tcPr>
          <w:p>
            <w:pPr>
              <w:spacing w:before="40" w:after="40"/>
            </w:pPr>
            <w:r>
              <w:rPr>
                <w:b w:val="0"/>
                <w:i w:val="0"/>
                <w:sz w:val="17"/>
              </w:rPr>
              <w:t>Change Control Board</w:t>
            </w:r>
          </w:p>
        </w:tc>
        <w:tc>
          <w:tcPr>
            <w:tcW w:type="dxa" w:w="2412"/>
          </w:tcPr>
          <w:p>
            <w:pPr>
              <w:spacing w:before="40" w:after="40"/>
            </w:pPr>
            <w:r>
              <w:rPr>
                <w:b w:val="0"/>
                <w:i w:val="0"/>
                <w:sz w:val="17"/>
              </w:rPr>
              <w:t>Anything touching cost or date</w:t>
            </w:r>
          </w:p>
        </w:tc>
      </w:tr>
      <w:tr>
        <w:tc>
          <w:tcPr>
            <w:tcW w:type="dxa" w:w="2412"/>
          </w:tcPr>
          <w:p>
            <w:pPr>
              <w:spacing w:before="40" w:after="40"/>
            </w:pPr>
            <w:r>
              <w:rPr>
                <w:b w:val="0"/>
                <w:i w:val="0"/>
                <w:sz w:val="17"/>
              </w:rPr>
              <w:t>Scope change beyond envelope</w:t>
            </w:r>
          </w:p>
        </w:tc>
        <w:tc>
          <w:tcPr>
            <w:tcW w:type="dxa" w:w="2412"/>
          </w:tcPr>
          <w:p>
            <w:pPr>
              <w:spacing w:before="40" w:after="40"/>
            </w:pPr>
            <w:r>
              <w:rPr>
                <w:b w:val="0"/>
                <w:i w:val="0"/>
                <w:sz w:val="17"/>
              </w:rPr>
              <w:t>Change Control Board</w:t>
            </w:r>
          </w:p>
        </w:tc>
        <w:tc>
          <w:tcPr>
            <w:tcW w:type="dxa" w:w="2412"/>
          </w:tcPr>
          <w:p>
            <w:pPr>
              <w:spacing w:before="40" w:after="40"/>
            </w:pPr>
            <w:r>
              <w:rPr>
                <w:b w:val="0"/>
                <w:i w:val="0"/>
                <w:sz w:val="17"/>
              </w:rPr>
              <w:t>Steering Committee</w:t>
            </w:r>
          </w:p>
        </w:tc>
        <w:tc>
          <w:tcPr>
            <w:tcW w:type="dxa" w:w="2412"/>
          </w:tcPr>
          <w:p>
            <w:pPr>
              <w:spacing w:before="40" w:after="40"/>
            </w:pPr>
            <w:r>
              <w:rPr>
                <w:b w:val="0"/>
                <w:i w:val="0"/>
                <w:sz w:val="17"/>
              </w:rPr>
              <w:t>—</w:t>
            </w:r>
          </w:p>
        </w:tc>
      </w:tr>
      <w:tr>
        <w:tc>
          <w:tcPr>
            <w:tcW w:type="dxa" w:w="2412"/>
          </w:tcPr>
          <w:p>
            <w:pPr>
              <w:spacing w:before="40" w:after="40"/>
            </w:pPr>
            <w:r>
              <w:rPr>
                <w:b w:val="0"/>
                <w:i w:val="0"/>
                <w:sz w:val="17"/>
              </w:rPr>
              <w:t>Quality gate pass/fail</w:t>
            </w:r>
          </w:p>
        </w:tc>
        <w:tc>
          <w:tcPr>
            <w:tcW w:type="dxa" w:w="2412"/>
          </w:tcPr>
          <w:p>
            <w:pPr>
              <w:spacing w:before="40" w:after="40"/>
            </w:pPr>
            <w:r>
              <w:rPr>
                <w:b w:val="0"/>
                <w:i w:val="0"/>
                <w:sz w:val="17"/>
              </w:rPr>
              <w:t>Quality Engineering</w:t>
            </w:r>
          </w:p>
        </w:tc>
        <w:tc>
          <w:tcPr>
            <w:tcW w:type="dxa" w:w="2412"/>
          </w:tcPr>
          <w:p>
            <w:pPr>
              <w:spacing w:before="40" w:after="40"/>
            </w:pPr>
            <w:r>
              <w:rPr>
                <w:b w:val="0"/>
                <w:i w:val="0"/>
                <w:sz w:val="17"/>
              </w:rPr>
              <w:t>Steering Committee</w:t>
            </w:r>
          </w:p>
        </w:tc>
        <w:tc>
          <w:tcPr>
            <w:tcW w:type="dxa" w:w="2412"/>
          </w:tcPr>
          <w:p>
            <w:pPr>
              <w:spacing w:before="40" w:after="40"/>
            </w:pPr>
            <w:r>
              <w:rPr>
                <w:b w:val="0"/>
                <w:i w:val="0"/>
                <w:sz w:val="17"/>
              </w:rPr>
              <w:t>QE cannot approve its own residual risk</w:t>
            </w:r>
          </w:p>
        </w:tc>
      </w:tr>
      <w:tr>
        <w:tc>
          <w:tcPr>
            <w:tcW w:type="dxa" w:w="2412"/>
          </w:tcPr>
          <w:p>
            <w:pPr>
              <w:spacing w:before="40" w:after="40"/>
            </w:pPr>
            <w:r>
              <w:rPr>
                <w:b w:val="0"/>
                <w:i w:val="0"/>
                <w:sz w:val="17"/>
              </w:rPr>
              <w:t>Cutover go/no-go</w:t>
            </w:r>
          </w:p>
        </w:tc>
        <w:tc>
          <w:tcPr>
            <w:tcW w:type="dxa" w:w="2412"/>
          </w:tcPr>
          <w:p>
            <w:pPr>
              <w:spacing w:before="40" w:after="40"/>
            </w:pPr>
            <w:r>
              <w:rPr>
                <w:b w:val="0"/>
                <w:i w:val="0"/>
                <w:sz w:val="17"/>
              </w:rPr>
              <w:t>Program Manager</w:t>
            </w:r>
          </w:p>
        </w:tc>
        <w:tc>
          <w:tcPr>
            <w:tcW w:type="dxa" w:w="2412"/>
          </w:tcPr>
          <w:p>
            <w:pPr>
              <w:spacing w:before="40" w:after="40"/>
            </w:pPr>
            <w:r>
              <w:rPr>
                <w:b w:val="0"/>
                <w:i w:val="0"/>
                <w:sz w:val="17"/>
              </w:rPr>
              <w:t>Steering Committee + Technology Operations</w:t>
            </w:r>
          </w:p>
        </w:tc>
        <w:tc>
          <w:tcPr>
            <w:tcW w:type="dxa" w:w="2412"/>
          </w:tcPr>
          <w:p>
            <w:pPr>
              <w:spacing w:before="40" w:after="40"/>
            </w:pPr>
            <w:r>
              <w:rPr>
                <w:b w:val="0"/>
                <w:i w:val="0"/>
                <w:sz w:val="17"/>
              </w:rPr>
              <w:t>Neither can go alone</w:t>
            </w:r>
          </w:p>
        </w:tc>
      </w:tr>
      <w:tr>
        <w:tc>
          <w:tcPr>
            <w:tcW w:type="dxa" w:w="2412"/>
          </w:tcPr>
          <w:p>
            <w:pPr>
              <w:spacing w:before="40" w:after="40"/>
            </w:pPr>
            <w:r>
              <w:rPr>
                <w:b w:val="0"/>
                <w:i w:val="0"/>
                <w:sz w:val="17"/>
              </w:rPr>
              <w:t>A SOX control finding</w:t>
            </w:r>
          </w:p>
        </w:tc>
        <w:tc>
          <w:tcPr>
            <w:tcW w:type="dxa" w:w="2412"/>
          </w:tcPr>
          <w:p>
            <w:pPr>
              <w:spacing w:before="40" w:after="40"/>
            </w:pPr>
            <w:r>
              <w:rPr>
                <w:b w:val="0"/>
                <w:i w:val="0"/>
                <w:sz w:val="17"/>
              </w:rPr>
              <w:t>—</w:t>
            </w:r>
          </w:p>
        </w:tc>
        <w:tc>
          <w:tcPr>
            <w:tcW w:type="dxa" w:w="2412"/>
          </w:tcPr>
          <w:p>
            <w:pPr>
              <w:spacing w:before="40" w:after="40"/>
            </w:pPr>
            <w:r>
              <w:rPr>
                <w:b w:val="0"/>
                <w:i w:val="0"/>
                <w:sz w:val="17"/>
              </w:rPr>
              <w:t>Internal Audit, independently</w:t>
            </w:r>
          </w:p>
        </w:tc>
        <w:tc>
          <w:tcPr>
            <w:tcW w:type="dxa" w:w="2412"/>
          </w:tcPr>
          <w:p>
            <w:pPr>
              <w:spacing w:before="40" w:after="40"/>
            </w:pPr>
            <w:r>
              <w:rPr>
                <w:b w:val="0"/>
                <w:i w:val="0"/>
                <w:sz w:val="17"/>
              </w:rPr>
              <w:t>The program has no say</w:t>
            </w:r>
          </w:p>
        </w:tc>
      </w:tr>
      <w:tr>
        <w:tc>
          <w:tcPr>
            <w:tcW w:type="dxa" w:w="2412"/>
          </w:tcPr>
          <w:p>
            <w:pPr>
              <w:spacing w:before="40" w:after="40"/>
            </w:pPr>
            <w:r>
              <w:rPr>
                <w:b w:val="0"/>
                <w:i w:val="0"/>
                <w:sz w:val="17"/>
              </w:rPr>
              <w:t>Individual assignment or priority</w:t>
            </w:r>
          </w:p>
        </w:tc>
        <w:tc>
          <w:tcPr>
            <w:tcW w:type="dxa" w:w="2412"/>
          </w:tcPr>
          <w:p>
            <w:pPr>
              <w:spacing w:before="40" w:after="40"/>
            </w:pPr>
            <w:r>
              <w:rPr>
                <w:b w:val="0"/>
                <w:i w:val="0"/>
                <w:sz w:val="17"/>
              </w:rPr>
              <w:t>Program Manager</w:t>
            </w:r>
          </w:p>
        </w:tc>
        <w:tc>
          <w:tcPr>
            <w:tcW w:type="dxa" w:w="2412"/>
          </w:tcPr>
          <w:p>
            <w:pPr>
              <w:spacing w:before="40" w:after="40"/>
            </w:pPr>
            <w:r>
              <w:rPr>
                <w:b w:val="0"/>
                <w:i w:val="0"/>
                <w:sz w:val="17"/>
              </w:rPr>
              <w:t>The functional manager</w:t>
            </w:r>
          </w:p>
        </w:tc>
        <w:tc>
          <w:tcPr>
            <w:tcW w:type="dxa" w:w="2412"/>
          </w:tcPr>
          <w:p>
            <w:pPr>
              <w:spacing w:before="40" w:after="40"/>
            </w:pPr>
            <w:r>
              <w:rPr>
                <w:b w:val="0"/>
                <w:i w:val="0"/>
                <w:sz w:val="17"/>
              </w:rPr>
              <w:t>The program cannot direct people</w:t>
            </w:r>
          </w:p>
        </w:tc>
      </w:tr>
    </w:tbl>
    <w:p/>
    <w:p>
      <w:pPr>
        <w:spacing w:before="280" w:after="80"/>
      </w:pPr>
      <w:r>
        <w:rPr>
          <w:b/>
          <w:i w:val="0"/>
          <w:color w:val="14352A"/>
          <w:sz w:val="28"/>
        </w:rPr>
        <w:t>8. Translating From Roles You Already Know</w:t>
      </w:r>
    </w:p>
    <w:p>
      <w:pPr>
        <w:spacing w:after="120"/>
      </w:pPr>
      <w:r>
        <w:rPr>
          <w:b w:val="0"/>
          <w:i w:val="0"/>
          <w:sz w:val="20"/>
        </w:rPr>
        <w:t xml:space="preserve">Titles travel badly between industries. If your background is elsewhere, these map roughly as follows — with the caveat that the mapping is about </w:t>
      </w:r>
      <w:r>
        <w:rPr>
          <w:b w:val="0"/>
          <w:i/>
          <w:sz w:val="20"/>
        </w:rPr>
        <w:t>what the role decides</w:t>
      </w:r>
      <w:r>
        <w:rPr>
          <w:b w:val="0"/>
          <w:i w:val="0"/>
          <w:sz w:val="20"/>
        </w:rPr>
        <w:t>, not what it is called.</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Here</w:t>
            </w:r>
          </w:p>
        </w:tc>
        <w:tc>
          <w:tcPr>
            <w:tcW w:type="dxa" w:w="2412"/>
            <w:shd w:val="clear" w:fill="14352A"/>
          </w:tcPr>
          <w:p>
            <w:pPr>
              <w:spacing w:before="40" w:after="40"/>
            </w:pPr>
            <w:r>
              <w:rPr>
                <w:b/>
                <w:i w:val="0"/>
                <w:color w:val="FFFFFF"/>
                <w:sz w:val="17"/>
              </w:rPr>
              <w:t>In agile delivery</w:t>
            </w:r>
          </w:p>
        </w:tc>
        <w:tc>
          <w:tcPr>
            <w:tcW w:type="dxa" w:w="2412"/>
            <w:shd w:val="clear" w:fill="14352A"/>
          </w:tcPr>
          <w:p>
            <w:pPr>
              <w:spacing w:before="40" w:after="40"/>
            </w:pPr>
            <w:r>
              <w:rPr>
                <w:b/>
                <w:i w:val="0"/>
                <w:color w:val="FFFFFF"/>
                <w:sz w:val="17"/>
              </w:rPr>
              <w:t>In federal contracting</w:t>
            </w:r>
          </w:p>
        </w:tc>
        <w:tc>
          <w:tcPr>
            <w:tcW w:type="dxa" w:w="2412"/>
            <w:shd w:val="clear" w:fill="14352A"/>
          </w:tcPr>
          <w:p>
            <w:pPr>
              <w:spacing w:before="40" w:after="40"/>
            </w:pPr>
            <w:r>
              <w:rPr>
                <w:b/>
                <w:i w:val="0"/>
                <w:color w:val="FFFFFF"/>
                <w:sz w:val="17"/>
              </w:rPr>
              <w:t>In regulated manufacturing</w:t>
            </w:r>
          </w:p>
        </w:tc>
      </w:tr>
      <w:tr>
        <w:tc>
          <w:tcPr>
            <w:tcW w:type="dxa" w:w="2412"/>
          </w:tcPr>
          <w:p>
            <w:pPr>
              <w:spacing w:before="40" w:after="40"/>
            </w:pPr>
            <w:r>
              <w:rPr>
                <w:b w:val="0"/>
                <w:i w:val="0"/>
                <w:sz w:val="17"/>
              </w:rPr>
              <w:t>Program Manager</w:t>
            </w:r>
          </w:p>
        </w:tc>
        <w:tc>
          <w:tcPr>
            <w:tcW w:type="dxa" w:w="2412"/>
          </w:tcPr>
          <w:p>
            <w:pPr>
              <w:spacing w:before="40" w:after="40"/>
            </w:pPr>
            <w:r>
              <w:rPr>
                <w:b w:val="0"/>
                <w:i w:val="0"/>
                <w:sz w:val="17"/>
              </w:rPr>
              <w:t>Release Train Engineer</w:t>
            </w:r>
          </w:p>
        </w:tc>
        <w:tc>
          <w:tcPr>
            <w:tcW w:type="dxa" w:w="2412"/>
          </w:tcPr>
          <w:p>
            <w:pPr>
              <w:spacing w:before="40" w:after="40"/>
            </w:pPr>
            <w:r>
              <w:rPr>
                <w:b w:val="0"/>
                <w:i w:val="0"/>
                <w:sz w:val="17"/>
              </w:rPr>
              <w:t>Task Order PM</w:t>
            </w:r>
          </w:p>
        </w:tc>
        <w:tc>
          <w:tcPr>
            <w:tcW w:type="dxa" w:w="2412"/>
          </w:tcPr>
          <w:p>
            <w:pPr>
              <w:spacing w:before="40" w:after="40"/>
            </w:pPr>
            <w:r>
              <w:rPr>
                <w:b w:val="0"/>
                <w:i w:val="0"/>
                <w:sz w:val="17"/>
              </w:rPr>
              <w:t>Program Manager</w:t>
            </w:r>
          </w:p>
        </w:tc>
      </w:tr>
      <w:tr>
        <w:tc>
          <w:tcPr>
            <w:tcW w:type="dxa" w:w="2412"/>
          </w:tcPr>
          <w:p>
            <w:pPr>
              <w:spacing w:before="40" w:after="40"/>
            </w:pPr>
            <w:r>
              <w:rPr>
                <w:b w:val="0"/>
                <w:i w:val="0"/>
                <w:sz w:val="17"/>
              </w:rPr>
              <w:t>Executive Sponsor</w:t>
            </w:r>
          </w:p>
        </w:tc>
        <w:tc>
          <w:tcPr>
            <w:tcW w:type="dxa" w:w="2412"/>
          </w:tcPr>
          <w:p>
            <w:pPr>
              <w:spacing w:before="40" w:after="40"/>
            </w:pPr>
            <w:r>
              <w:rPr>
                <w:b w:val="0"/>
                <w:i w:val="0"/>
                <w:sz w:val="17"/>
              </w:rPr>
              <w:t>Business Owner</w:t>
            </w:r>
          </w:p>
        </w:tc>
        <w:tc>
          <w:tcPr>
            <w:tcW w:type="dxa" w:w="2412"/>
          </w:tcPr>
          <w:p>
            <w:pPr>
              <w:spacing w:before="40" w:after="40"/>
            </w:pPr>
            <w:r>
              <w:rPr>
                <w:b w:val="0"/>
                <w:i w:val="0"/>
                <w:sz w:val="17"/>
              </w:rPr>
              <w:t>Contracting Officer's Representative</w:t>
            </w:r>
          </w:p>
        </w:tc>
        <w:tc>
          <w:tcPr>
            <w:tcW w:type="dxa" w:w="2412"/>
          </w:tcPr>
          <w:p>
            <w:pPr>
              <w:spacing w:before="40" w:after="40"/>
            </w:pPr>
            <w:r>
              <w:rPr>
                <w:b w:val="0"/>
                <w:i w:val="0"/>
                <w:sz w:val="17"/>
              </w:rPr>
              <w:t>Program Director</w:t>
            </w:r>
          </w:p>
        </w:tc>
      </w:tr>
      <w:tr>
        <w:tc>
          <w:tcPr>
            <w:tcW w:type="dxa" w:w="2412"/>
          </w:tcPr>
          <w:p>
            <w:pPr>
              <w:spacing w:before="40" w:after="40"/>
            </w:pPr>
            <w:r>
              <w:rPr>
                <w:b w:val="0"/>
                <w:i w:val="0"/>
                <w:sz w:val="17"/>
              </w:rPr>
              <w:t>Business Analysis lead</w:t>
            </w:r>
          </w:p>
        </w:tc>
        <w:tc>
          <w:tcPr>
            <w:tcW w:type="dxa" w:w="2412"/>
          </w:tcPr>
          <w:p>
            <w:pPr>
              <w:spacing w:before="40" w:after="40"/>
            </w:pPr>
            <w:r>
              <w:rPr>
                <w:b w:val="0"/>
                <w:i w:val="0"/>
                <w:sz w:val="17"/>
              </w:rPr>
              <w:t>Product Owner (partly)</w:t>
            </w:r>
          </w:p>
        </w:tc>
        <w:tc>
          <w:tcPr>
            <w:tcW w:type="dxa" w:w="2412"/>
          </w:tcPr>
          <w:p>
            <w:pPr>
              <w:spacing w:before="40" w:after="40"/>
            </w:pPr>
            <w:r>
              <w:rPr>
                <w:b w:val="0"/>
                <w:i w:val="0"/>
                <w:sz w:val="17"/>
              </w:rPr>
              <w:t>Requirements lead</w:t>
            </w:r>
          </w:p>
        </w:tc>
        <w:tc>
          <w:tcPr>
            <w:tcW w:type="dxa" w:w="2412"/>
          </w:tcPr>
          <w:p>
            <w:pPr>
              <w:spacing w:before="40" w:after="40"/>
            </w:pPr>
            <w:r>
              <w:rPr>
                <w:b w:val="0"/>
                <w:i w:val="0"/>
                <w:sz w:val="17"/>
              </w:rPr>
              <w:t>Systems Engineering</w:t>
            </w:r>
          </w:p>
        </w:tc>
      </w:tr>
      <w:tr>
        <w:tc>
          <w:tcPr>
            <w:tcW w:type="dxa" w:w="2412"/>
          </w:tcPr>
          <w:p>
            <w:pPr>
              <w:spacing w:before="40" w:after="40"/>
            </w:pPr>
            <w:r>
              <w:rPr>
                <w:b w:val="0"/>
                <w:i w:val="0"/>
                <w:sz w:val="17"/>
              </w:rPr>
              <w:t>Change Control Board</w:t>
            </w:r>
          </w:p>
        </w:tc>
        <w:tc>
          <w:tcPr>
            <w:tcW w:type="dxa" w:w="2412"/>
          </w:tcPr>
          <w:p>
            <w:pPr>
              <w:spacing w:before="40" w:after="40"/>
            </w:pPr>
            <w:r>
              <w:rPr>
                <w:b w:val="0"/>
                <w:i w:val="0"/>
                <w:sz w:val="17"/>
              </w:rPr>
              <w:t>Backlog refinement + sprint boundary</w:t>
            </w:r>
          </w:p>
        </w:tc>
        <w:tc>
          <w:tcPr>
            <w:tcW w:type="dxa" w:w="2412"/>
          </w:tcPr>
          <w:p>
            <w:pPr>
              <w:spacing w:before="40" w:after="40"/>
            </w:pPr>
            <w:r>
              <w:rPr>
                <w:b w:val="0"/>
                <w:i w:val="0"/>
                <w:sz w:val="17"/>
              </w:rPr>
              <w:t>Contracting Officer (for anything on contract)</w:t>
            </w:r>
          </w:p>
        </w:tc>
        <w:tc>
          <w:tcPr>
            <w:tcW w:type="dxa" w:w="2412"/>
          </w:tcPr>
          <w:p>
            <w:pPr>
              <w:spacing w:before="40" w:after="40"/>
            </w:pPr>
            <w:r>
              <w:rPr>
                <w:b w:val="0"/>
                <w:i w:val="0"/>
                <w:sz w:val="17"/>
              </w:rPr>
              <w:t>Configuration Control Board</w:t>
            </w:r>
          </w:p>
        </w:tc>
      </w:tr>
      <w:tr>
        <w:tc>
          <w:tcPr>
            <w:tcW w:type="dxa" w:w="2412"/>
          </w:tcPr>
          <w:p>
            <w:pPr>
              <w:spacing w:before="40" w:after="40"/>
            </w:pPr>
            <w:r>
              <w:rPr>
                <w:b w:val="0"/>
                <w:i w:val="0"/>
                <w:sz w:val="17"/>
              </w:rPr>
              <w:t>Internal Audit / SOX</w:t>
            </w:r>
          </w:p>
        </w:tc>
        <w:tc>
          <w:tcPr>
            <w:tcW w:type="dxa" w:w="2412"/>
          </w:tcPr>
          <w:p>
            <w:pPr>
              <w:spacing w:before="40" w:after="40"/>
            </w:pPr>
            <w:r>
              <w:rPr>
                <w:b w:val="0"/>
                <w:i w:val="0"/>
                <w:sz w:val="17"/>
              </w:rPr>
              <w:t>— (rarely present)</w:t>
            </w:r>
          </w:p>
        </w:tc>
        <w:tc>
          <w:tcPr>
            <w:tcW w:type="dxa" w:w="2412"/>
          </w:tcPr>
          <w:p>
            <w:pPr>
              <w:spacing w:before="40" w:after="40"/>
            </w:pPr>
            <w:r>
              <w:rPr>
                <w:b w:val="0"/>
                <w:i w:val="0"/>
                <w:sz w:val="17"/>
              </w:rPr>
              <w:t>DCAA / agency oversight</w:t>
            </w:r>
          </w:p>
        </w:tc>
        <w:tc>
          <w:tcPr>
            <w:tcW w:type="dxa" w:w="2412"/>
          </w:tcPr>
          <w:p>
            <w:pPr>
              <w:spacing w:before="40" w:after="40"/>
            </w:pPr>
            <w:r>
              <w:rPr>
                <w:b w:val="0"/>
                <w:i w:val="0"/>
                <w:sz w:val="17"/>
              </w:rPr>
              <w:t>Quality Assurance, independent</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val="0"/>
                <w:i w:val="0"/>
                <w:sz w:val="20"/>
              </w:rPr>
              <w:t xml:space="preserve">⚠ </w:t>
            </w:r>
            <w:r>
              <w:rPr>
                <w:b/>
                <w:i w:val="0"/>
                <w:sz w:val="20"/>
              </w:rPr>
              <w:t>The mapping that most often misleads:</w:t>
            </w:r>
            <w:r>
              <w:rPr>
                <w:b w:val="0"/>
                <w:i w:val="0"/>
                <w:sz w:val="20"/>
              </w:rPr>
              <w:t xml:space="preserve"> a Change Control Board here and a Contracting Officer in federal work look similar on an org chart and are not alike at all. The board is internal and can be persuaded. The Contracting Officer is a counterparty with independent authority, and persuasion is not the mechanism — see the </w:t>
            </w:r>
            <w:r>
              <w:rPr>
                <w:b w:val="0"/>
                <w:i w:val="0"/>
                <w:sz w:val="20"/>
              </w:rPr>
              <w:t>Federal change requests register</w:t>
            </w:r>
            <w:r>
              <w:rPr>
                <w:b w:val="0"/>
                <w:i w:val="0"/>
                <w:sz w:val="20"/>
              </w:rPr>
              <w:t xml:space="preserve"> for what that difference looks like in practice.</w:t>
            </w:r>
          </w:p>
        </w:tc>
      </w:tr>
    </w:tbl>
    <w:p/>
    <w:p/>
    <w:p>
      <w:pPr>
        <w:jc w:val="left"/>
      </w:pPr>
      <w:r>
        <w:rPr>
          <w:color w:val="5B6472"/>
          <w:sz w:val="15"/>
        </w:rPr>
        <w:t>Illustrative program data — created to demonstrate PMBOK-standard program management practice, not a real client engagement.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