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12213B"/>
          <w:sz w:val="32"/>
          <w:szCs w:val="32"/>
        </w:rPr>
        <w:t xml:space="preserve">Enrollment &amp; Claims Platform Modernization</w:t>
      </w:r>
    </w:p>
    <w:p>
      <w:pPr>
        <w:spacing w:after="200"/>
      </w:pPr>
      <w:r>
        <w:rPr>
          <w:i/>
          <w:iCs/>
          <w:color w:val="5B6472"/>
          <w:sz w:val="22"/>
          <w:szCs w:val="22"/>
        </w:rPr>
        <w:t xml:space="preserve">Weekly Status Report — Portfolio Demo</w:t>
      </w:r>
    </w:p>
    <w:p>
      <w:pPr>
        <w:spacing w:after="120"/>
      </w:pPr>
      <w:r>
        <w:rPr>
          <w:color w:val="5B6472"/>
          <w:sz w:val="20"/>
          <w:szCs w:val="20"/>
        </w:rPr>
        <w:t xml:space="preserve">Program Manager: C. Tyrrell     |     Report No.: WK-24     |     Reporting Period: 11-17 Jan 2027     |     Distribution: Steering Committee</w:t>
      </w:r>
    </w:p>
    <w:p>
      <w:pPr>
        <w:pStyle w:val="Heading1"/>
        <w:spacing w:after="150" w:before="300"/>
      </w:pPr>
      <w:r>
        <w:t xml:space="preserve">Executive Summary</w:t>
      </w:r>
    </w:p>
    <w:p>
      <w:pPr>
        <w:spacing w:after="120"/>
      </w:pPr>
      <w:r>
        <w:t xml:space="preserve">Enrollment &amp; Claims Platform Modernization is in Phases 3 &amp; 4 (Data Conversion / Integration Build entry) and is currently in Yellow status due to a high-severity data quality risk (R-001) in the historical claims data. The get-to-Green strategy is to complete early data profiling and automated cleansing rules ahead of Dry Run 2, escalate any systemic issues to the Business Data Owner immediately, and hold a third Dry Run in reserve if reconciliation tolerance isn't met. No change to the Data Conversion Sign-off milestone (16 Mar 2027) is being proposed this period.</w:t>
      </w:r>
    </w:p>
    <w:p>
      <w:pPr>
        <w:pStyle w:val="Heading2"/>
        <w:spacing w:after="150" w:before="300"/>
      </w:pPr>
      <w:r>
        <w:t xml:space="preserve">Status Summary</w:t>
      </w:r>
    </w:p>
    <w:tbl>
      <w:tblPr>
        <w:tblW w:type="dxa" w:w="935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75"/>
        <w:gridCol w:w="4675"/>
      </w:tblGrid>
      <w:tr>
        <w:tc>
          <w:tcPr>
            <w:tcW w:type="dxa" w:w="4675"/>
            <w:shd w:fill="12213B" w:val="clear"/>
          </w:tcPr>
          <w:p>
            <w:r>
              <w:rPr>
                <w:b/>
                <w:bCs/>
                <w:color w:val="FFFFFF"/>
              </w:rPr>
              <w:t xml:space="preserve">Metric</w:t>
            </w:r>
          </w:p>
        </w:tc>
        <w:tc>
          <w:tcPr>
            <w:tcW w:type="dxa" w:w="4675"/>
            <w:shd w:fill="12213B" w:val="clear"/>
          </w:tcPr>
          <w:p>
            <w:r>
              <w:rPr>
                <w:b/>
                <w:bCs/>
                <w:color w:val="FFFFFF"/>
              </w:rPr>
              <w:t xml:space="preserve">Status</w:t>
            </w:r>
          </w:p>
        </w:tc>
      </w:tr>
      <w:tr>
        <w:tc>
          <w:tcPr>
            <w:tcW w:type="dxa" w:w="4675"/>
          </w:tcPr>
          <w:p>
            <w:r>
              <w:rPr>
                <w:b w:val="false"/>
                <w:bCs w:val="false"/>
              </w:rPr>
              <w:t xml:space="preserve">Overall Status</w:t>
            </w:r>
          </w:p>
        </w:tc>
        <w:tc>
          <w:tcPr>
            <w:tcW w:type="dxa" w:w="4675"/>
          </w:tcPr>
          <w:p>
            <w:r>
              <w:rPr>
                <w:b w:val="false"/>
                <w:bCs w:val="false"/>
              </w:rPr>
              <w:t xml:space="preserve">Yellow</w:t>
            </w:r>
          </w:p>
        </w:tc>
      </w:tr>
      <w:tr>
        <w:tc>
          <w:tcPr>
            <w:tcW w:type="dxa" w:w="4675"/>
          </w:tcPr>
          <w:p>
            <w:r>
              <w:rPr>
                <w:b w:val="false"/>
                <w:bCs w:val="false"/>
              </w:rPr>
              <w:t xml:space="preserve">Schedule</w:t>
            </w:r>
          </w:p>
        </w:tc>
        <w:tc>
          <w:tcPr>
            <w:tcW w:type="dxa" w:w="4675"/>
          </w:tcPr>
          <w:p>
            <w:r>
              <w:rPr>
                <w:b w:val="false"/>
                <w:bCs w:val="false"/>
              </w:rPr>
              <w:t xml:space="preserve">42% Complete</w:t>
            </w:r>
          </w:p>
        </w:tc>
      </w:tr>
      <w:tr>
        <w:tc>
          <w:tcPr>
            <w:tcW w:type="dxa" w:w="4675"/>
          </w:tcPr>
          <w:p>
            <w:r>
              <w:rPr>
                <w:b w:val="false"/>
                <w:bCs w:val="false"/>
              </w:rPr>
              <w:t xml:space="preserve">Budget</w:t>
            </w:r>
          </w:p>
        </w:tc>
        <w:tc>
          <w:tcPr>
            <w:tcW w:type="dxa" w:w="4675"/>
          </w:tcPr>
          <w:p>
            <w:r>
              <w:rPr>
                <w:b w:val="false"/>
                <w:bCs w:val="false"/>
              </w:rPr>
              <w:t xml:space="preserve">43% Spent</w:t>
            </w:r>
          </w:p>
        </w:tc>
      </w:tr>
      <w:tr>
        <w:tc>
          <w:tcPr>
            <w:tcW w:type="dxa" w:w="4675"/>
          </w:tcPr>
          <w:p>
            <w:r>
              <w:rPr>
                <w:b w:val="false"/>
                <w:bCs w:val="false"/>
              </w:rPr>
              <w:t xml:space="preserve">Open Risks (High)</w:t>
            </w:r>
          </w:p>
        </w:tc>
        <w:tc>
          <w:tcPr>
            <w:tcW w:type="dxa" w:w="4675"/>
          </w:tcPr>
          <w:p>
            <w:r>
              <w:rPr>
                <w:b w:val="false"/>
                <w:bCs w:val="false"/>
              </w:rPr>
              <w:t xml:space="preserve">1</w:t>
            </w:r>
          </w:p>
        </w:tc>
      </w:tr>
    </w:tbl>
    <w:p>
      <w:pPr>
        <w:pStyle w:val="Heading2"/>
        <w:spacing w:after="150" w:before="300"/>
      </w:pPr>
      <w:r>
        <w:t xml:space="preserve">Accomplished — Week of 11-17 Jan 2027</w:t>
      </w:r>
    </w:p>
    <w:p>
      <w:pPr>
        <w:pStyle w:val="ListParagraph"/>
        <w:numPr>
          <w:ilvl w:val="0"/>
          <w:numId w:val="1"/>
        </w:numPr>
        <w:spacing w:after="100"/>
      </w:pPr>
      <w:r>
        <w:rPr>
          <w:b/>
          <w:bCs/>
        </w:rPr>
        <w:t xml:space="preserve">Staging TLS configuration remediated</w:t>
      </w:r>
      <w:r>
        <w:rPr>
          <w:color w:val="5B6472"/>
        </w:rPr>
        <w:t xml:space="preserve">  —  External penetration test finding (I-005) patched and re-scanned clean. Owner: M. Alvarez</w:t>
      </w:r>
    </w:p>
    <w:p>
      <w:pPr>
        <w:pStyle w:val="ListParagraph"/>
        <w:numPr>
          <w:ilvl w:val="0"/>
          <w:numId w:val="1"/>
        </w:numPr>
        <w:spacing w:after="100"/>
      </w:pPr>
      <w:r>
        <w:rPr>
          <w:b/>
          <w:bCs/>
        </w:rPr>
        <w:t xml:space="preserve">System Upgrade Validated milestone achieved (05 Jan 27)</w:t>
      </w:r>
      <w:r>
        <w:rPr>
          <w:color w:val="5B6472"/>
        </w:rPr>
        <w:t xml:space="preserve">  —  Phase 2 formally closed. Owner: M. Alvarez</w:t>
      </w:r>
    </w:p>
    <w:p>
      <w:pPr>
        <w:pStyle w:val="ListParagraph"/>
        <w:numPr>
          <w:ilvl w:val="0"/>
          <w:numId w:val="1"/>
        </w:numPr>
        <w:spacing w:after="100"/>
      </w:pPr>
      <w:r>
        <w:rPr>
          <w:b/>
          <w:bCs/>
        </w:rPr>
        <w:t xml:space="preserve">Data Conversion and Integration Build phases entered</w:t>
      </w:r>
      <w:r>
        <w:rPr>
          <w:color w:val="5B6472"/>
        </w:rPr>
        <w:t xml:space="preserve">  —  Phase 3 and Phase 4 both opened. Owner: T. McCormick / C. Tyrrell</w:t>
      </w:r>
    </w:p>
    <w:p>
      <w:pPr>
        <w:pStyle w:val="ListParagraph"/>
        <w:numPr>
          <w:ilvl w:val="0"/>
          <w:numId w:val="1"/>
        </w:numPr>
        <w:spacing w:after="100"/>
      </w:pPr>
      <w:r>
        <w:rPr>
          <w:b/>
          <w:bCs/>
        </w:rPr>
        <w:t xml:space="preserve">Architecture decision log established</w:t>
      </w:r>
      <w:r>
        <w:rPr>
          <w:color w:val="5B6472"/>
        </w:rPr>
        <w:t xml:space="preserve">  —  For Solution Architect cross-training continuity (A-004). Owner: J. Albert</w:t>
      </w:r>
    </w:p>
    <w:p>
      <w:pPr>
        <w:pStyle w:val="Heading2"/>
        <w:spacing w:after="150" w:before="300"/>
      </w:pPr>
      <w:r>
        <w:t xml:space="preserve">Planned — Week of 18 Jan 2027</w:t>
      </w:r>
    </w:p>
    <w:p>
      <w:pPr>
        <w:pStyle w:val="ListParagraph"/>
        <w:numPr>
          <w:ilvl w:val="0"/>
          <w:numId w:val="1"/>
        </w:numPr>
        <w:spacing w:after="100"/>
      </w:pPr>
      <w:r>
        <w:rPr>
          <w:b/>
          <w:bCs/>
        </w:rPr>
        <w:t xml:space="preserve">Begin Data Conversion mapping</w:t>
      </w:r>
      <w:r>
        <w:rPr>
          <w:color w:val="5B6472"/>
        </w:rPr>
        <w:t xml:space="preserve">  —  Member/policy data mapping kickoff (WBS 3.1). Owner: T. McCormick</w:t>
      </w:r>
    </w:p>
    <w:p>
      <w:pPr>
        <w:pStyle w:val="ListParagraph"/>
        <w:numPr>
          <w:ilvl w:val="0"/>
          <w:numId w:val="1"/>
        </w:numPr>
        <w:spacing w:after="100"/>
      </w:pPr>
      <w:r>
        <w:rPr>
          <w:b/>
          <w:bCs/>
        </w:rPr>
        <w:t xml:space="preserve">Begin Integration Build Sprint 1</w:t>
      </w:r>
      <w:r>
        <w:rPr>
          <w:color w:val="5B6472"/>
        </w:rPr>
        <w:t xml:space="preserve">  —  Across all six integration tracks. Owners: D. Okafor / S. Lindqvist / K. Delgado / P. Novak / A. Reyes / B. Sato</w:t>
      </w:r>
    </w:p>
    <w:p>
      <w:pPr>
        <w:pStyle w:val="ListParagraph"/>
        <w:numPr>
          <w:ilvl w:val="0"/>
          <w:numId w:val="1"/>
        </w:numPr>
        <w:spacing w:after="100"/>
      </w:pPr>
      <w:r>
        <w:rPr>
          <w:b/>
          <w:bCs/>
        </w:rPr>
        <w:t xml:space="preserve">Finalize offshore/onshore QA handoff protocol (A-001)</w:t>
      </w:r>
      <w:r>
        <w:rPr>
          <w:color w:val="5B6472"/>
        </w:rPr>
        <w:t xml:space="preserve">  —  Awaiting onshore Test Lead sign-off. Owner: P. Sundaram / R. Whitfield</w:t>
      </w:r>
    </w:p>
    <w:p>
      <w:pPr>
        <w:pStyle w:val="ListParagraph"/>
        <w:numPr>
          <w:ilvl w:val="0"/>
          <w:numId w:val="1"/>
        </w:numPr>
        <w:spacing w:after="100"/>
      </w:pPr>
      <w:r>
        <w:rPr>
          <w:b/>
          <w:bCs/>
        </w:rPr>
        <w:t xml:space="preserve">Monitor vendor SOW negotiation (DEP-003, At Risk)</w:t>
      </w:r>
      <w:r>
        <w:rPr>
          <w:color w:val="5B6472"/>
        </w:rPr>
        <w:t xml:space="preserve">  —  Ahead of Environment Provisioning start. Owner: W. Donnelly</w:t>
      </w:r>
    </w:p>
    <w:p>
      <w:pPr>
        <w:pStyle w:val="Heading2"/>
        <w:spacing w:after="150" w:before="300"/>
      </w:pPr>
      <w:r>
        <w:t xml:space="preserve">Risks &amp; Issues Requiring Attention</w:t>
      </w:r>
    </w:p>
    <w:tbl>
      <w:tblPr>
        <w:tblW w:type="dxa" w:w="935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4550"/>
        <w:gridCol w:w="1800"/>
        <w:gridCol w:w="2200"/>
      </w:tblGrid>
      <w:tr>
        <w:tc>
          <w:tcPr>
            <w:tcW w:type="dxa" w:w="800"/>
            <w:shd w:fill="12213B" w:val="clear"/>
          </w:tcPr>
          <w:p>
            <w:r>
              <w:rPr>
                <w:b/>
                <w:bCs/>
                <w:color w:val="FFFFFF"/>
              </w:rPr>
              <w:t xml:space="preserve">ID</w:t>
            </w:r>
          </w:p>
        </w:tc>
        <w:tc>
          <w:tcPr>
            <w:tcW w:type="dxa" w:w="4550"/>
            <w:shd w:fill="12213B" w:val="clear"/>
          </w:tcPr>
          <w:p>
            <w:r>
              <w:rPr>
                <w:b/>
                <w:bCs/>
                <w:color w:val="FFFFFF"/>
              </w:rPr>
              <w:t xml:space="preserve">Description</w:t>
            </w:r>
          </w:p>
        </w:tc>
        <w:tc>
          <w:tcPr>
            <w:tcW w:type="dxa" w:w="1800"/>
            <w:shd w:fill="12213B" w:val="clear"/>
          </w:tcPr>
          <w:p>
            <w:r>
              <w:rPr>
                <w:b/>
                <w:bCs/>
                <w:color w:val="FFFFFF"/>
              </w:rPr>
              <w:t xml:space="preserve">Owner</w:t>
            </w:r>
          </w:p>
        </w:tc>
        <w:tc>
          <w:tcPr>
            <w:tcW w:type="dxa" w:w="2200"/>
            <w:shd w:fill="12213B" w:val="clear"/>
          </w:tcPr>
          <w:p>
            <w:r>
              <w:rPr>
                <w:b/>
                <w:bCs/>
                <w:color w:val="FFFFFF"/>
              </w:rPr>
              <w:t xml:space="preserve">Status / Action</w:t>
            </w:r>
          </w:p>
        </w:tc>
      </w:tr>
      <w:tr>
        <w:tc>
          <w:tcPr>
            <w:tcW w:type="dxa" w:w="800"/>
          </w:tcPr>
          <w:p>
            <w:r>
              <w:rPr>
                <w:b w:val="false"/>
                <w:bCs w:val="false"/>
              </w:rPr>
              <w:t xml:space="preserve">R-001</w:t>
            </w:r>
          </w:p>
        </w:tc>
        <w:tc>
          <w:tcPr>
            <w:tcW w:type="dxa" w:w="4550"/>
          </w:tcPr>
          <w:p>
            <w:r>
              <w:rPr>
                <w:b w:val="false"/>
                <w:bCs w:val="false"/>
              </w:rPr>
              <w:t xml:space="preserve">Historical claims data quality issues (Score 9, High/High)</w:t>
            </w:r>
          </w:p>
        </w:tc>
        <w:tc>
          <w:tcPr>
            <w:tcW w:type="dxa" w:w="1800"/>
          </w:tcPr>
          <w:p>
            <w:r>
              <w:rPr>
                <w:b w:val="false"/>
                <w:bCs w:val="false"/>
              </w:rPr>
              <w:t xml:space="preserve">T. McCormick</w:t>
            </w:r>
          </w:p>
        </w:tc>
        <w:tc>
          <w:tcPr>
            <w:tcW w:type="dxa" w:w="2200"/>
          </w:tcPr>
          <w:p>
            <w:r>
              <w:rPr>
                <w:b w:val="false"/>
                <w:bCs w:val="false"/>
              </w:rPr>
              <w:t xml:space="preserve">Early profiling underway; cleansing rules being drafted ahead of Dry Run 2</w:t>
            </w:r>
          </w:p>
        </w:tc>
      </w:tr>
      <w:tr>
        <w:tc>
          <w:tcPr>
            <w:tcW w:type="dxa" w:w="800"/>
          </w:tcPr>
          <w:p>
            <w:r>
              <w:rPr>
                <w:b w:val="false"/>
                <w:bCs w:val="false"/>
              </w:rPr>
              <w:t xml:space="preserve">R-003</w:t>
            </w:r>
          </w:p>
        </w:tc>
        <w:tc>
          <w:tcPr>
            <w:tcW w:type="dxa" w:w="4550"/>
          </w:tcPr>
          <w:p>
            <w:r>
              <w:rPr>
                <w:b w:val="false"/>
                <w:bCs w:val="false"/>
              </w:rPr>
              <w:t xml:space="preserve">Vendor SOW negotiation delay (Score 6, Medium/High)</w:t>
            </w:r>
          </w:p>
        </w:tc>
        <w:tc>
          <w:tcPr>
            <w:tcW w:type="dxa" w:w="1800"/>
          </w:tcPr>
          <w:p>
            <w:r>
              <w:rPr>
                <w:b w:val="false"/>
                <w:bCs w:val="false"/>
              </w:rPr>
              <w:t xml:space="preserve">W. Donnelly</w:t>
            </w:r>
          </w:p>
        </w:tc>
        <w:tc>
          <w:tcPr>
            <w:tcW w:type="dxa" w:w="2200"/>
          </w:tcPr>
          <w:p>
            <w:r>
              <w:rPr>
                <w:b w:val="false"/>
                <w:bCs w:val="false"/>
              </w:rPr>
              <w:t xml:space="preserve">Backup vendor pre-qualified as contingency (A-003, Complete)</w:t>
            </w:r>
          </w:p>
        </w:tc>
      </w:tr>
      <w:tr>
        <w:tc>
          <w:tcPr>
            <w:tcW w:type="dxa" w:w="800"/>
          </w:tcPr>
          <w:p>
            <w:r>
              <w:rPr>
                <w:b w:val="false"/>
                <w:bCs w:val="false"/>
              </w:rPr>
              <w:t xml:space="preserve">I-003</w:t>
            </w:r>
          </w:p>
        </w:tc>
        <w:tc>
          <w:tcPr>
            <w:tcW w:type="dxa" w:w="4550"/>
          </w:tcPr>
          <w:p>
            <w:r>
              <w:rPr>
                <w:b w:val="false"/>
                <w:bCs w:val="false"/>
              </w:rPr>
              <w:t xml:space="preserve">Vendor demo missed integration middleware requirement</w:t>
            </w:r>
          </w:p>
        </w:tc>
        <w:tc>
          <w:tcPr>
            <w:tcW w:type="dxa" w:w="1800"/>
          </w:tcPr>
          <w:p>
            <w:r>
              <w:rPr>
                <w:b w:val="false"/>
                <w:bCs w:val="false"/>
              </w:rPr>
              <w:t xml:space="preserve">W. Donnelly</w:t>
            </w:r>
          </w:p>
        </w:tc>
        <w:tc>
          <w:tcPr>
            <w:tcW w:type="dxa" w:w="2200"/>
          </w:tcPr>
          <w:p>
            <w:r>
              <w:rPr>
                <w:b w:val="false"/>
                <w:bCs w:val="false"/>
              </w:rPr>
              <w:t xml:space="preserve">Supplemental technical session held; vendor response pending</w:t>
            </w:r>
          </w:p>
        </w:tc>
      </w:tr>
      <w:tr>
        <w:tc>
          <w:tcPr>
            <w:tcW w:type="dxa" w:w="800"/>
          </w:tcPr>
          <w:p>
            <w:r>
              <w:rPr>
                <w:b w:val="false"/>
                <w:bCs w:val="false"/>
              </w:rPr>
              <w:t xml:space="preserve">DEP-003</w:t>
            </w:r>
          </w:p>
        </w:tc>
        <w:tc>
          <w:tcPr>
            <w:tcW w:type="dxa" w:w="4550"/>
          </w:tcPr>
          <w:p>
            <w:r>
              <w:rPr>
                <w:b w:val="false"/>
                <w:bCs w:val="false"/>
              </w:rPr>
              <w:t xml:space="preserve">Platform vendor SOW must finalize before Environment Provisioning</w:t>
            </w:r>
          </w:p>
        </w:tc>
        <w:tc>
          <w:tcPr>
            <w:tcW w:type="dxa" w:w="1800"/>
          </w:tcPr>
          <w:p>
            <w:r>
              <w:rPr>
                <w:b w:val="false"/>
                <w:bCs w:val="false"/>
              </w:rPr>
              <w:t xml:space="preserve">W. Donnelly</w:t>
            </w:r>
          </w:p>
        </w:tc>
        <w:tc>
          <w:tcPr>
            <w:tcW w:type="dxa" w:w="2200"/>
          </w:tcPr>
          <w:p>
            <w:r>
              <w:rPr>
                <w:b w:val="false"/>
                <w:bCs w:val="false"/>
              </w:rPr>
              <w:t xml:space="preserve">Status: At Risk — contract negotiation in progress</w:t>
            </w:r>
          </w:p>
        </w:tc>
      </w:tr>
    </w:tbl>
    <w:p>
      <w:pPr>
        <w:pStyle w:val="Heading2"/>
        <w:spacing w:after="150" w:before="300"/>
      </w:pPr>
      <w:r>
        <w:t xml:space="preserve">Budget Health &amp; Variance</w:t>
      </w:r>
    </w:p>
    <w:p>
      <w:pPr>
        <w:spacing w:after="120"/>
      </w:pPr>
      <w:r>
        <w:rPr>
          <w:b/>
          <w:bCs/>
          <w:color w:val="1E7B4D"/>
        </w:rPr>
        <w:t xml:space="preserve">Budget Status: On Track</w:t>
      </w:r>
    </w:p>
    <w:tbl>
      <w:tblPr>
        <w:tblW w:type="dxa" w:w="935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75"/>
        <w:gridCol w:w="4675"/>
      </w:tblGrid>
      <w:tr>
        <w:tc>
          <w:tcPr>
            <w:tcW w:type="dxa" w:w="4675"/>
            <w:shd w:fill="12213B" w:val="clear"/>
          </w:tcPr>
          <w:p>
            <w:r>
              <w:rPr>
                <w:b/>
                <w:bCs/>
                <w:color w:val="FFFFFF"/>
              </w:rPr>
              <w:t xml:space="preserve">Metric</w:t>
            </w:r>
          </w:p>
        </w:tc>
        <w:tc>
          <w:tcPr>
            <w:tcW w:type="dxa" w:w="4675"/>
            <w:shd w:fill="12213B" w:val="clear"/>
          </w:tcPr>
          <w:p>
            <w:r>
              <w:rPr>
                <w:b/>
                <w:bCs/>
                <w:color w:val="FFFFFF"/>
              </w:rPr>
              <w:t xml:space="preserve">Value</w:t>
            </w:r>
          </w:p>
        </w:tc>
      </w:tr>
      <w:tr>
        <w:tc>
          <w:tcPr>
            <w:tcW w:type="dxa" w:w="4675"/>
          </w:tcPr>
          <w:p>
            <w:r>
              <w:rPr>
                <w:b w:val="false"/>
                <w:bCs w:val="false"/>
              </w:rPr>
              <w:t xml:space="preserve">Current Period Variance</w:t>
            </w:r>
          </w:p>
        </w:tc>
        <w:tc>
          <w:tcPr>
            <w:tcW w:type="dxa" w:w="4675"/>
          </w:tcPr>
          <w:p>
            <w:r>
              <w:rPr>
                <w:b w:val="false"/>
                <w:bCs w:val="false"/>
              </w:rPr>
              <w:t xml:space="preserve">+$45K (+0.6%)</w:t>
            </w:r>
          </w:p>
        </w:tc>
      </w:tr>
      <w:tr>
        <w:tc>
          <w:tcPr>
            <w:tcW w:type="dxa" w:w="4675"/>
          </w:tcPr>
          <w:p>
            <w:r>
              <w:rPr>
                <w:b w:val="false"/>
                <w:bCs w:val="false"/>
              </w:rPr>
              <w:t xml:space="preserve">Projected Variance at Completion</w:t>
            </w:r>
          </w:p>
        </w:tc>
        <w:tc>
          <w:tcPr>
            <w:tcW w:type="dxa" w:w="4675"/>
          </w:tcPr>
          <w:p>
            <w:r>
              <w:rPr>
                <w:b w:val="false"/>
                <w:bCs w:val="false"/>
              </w:rPr>
              <w:t xml:space="preserve">+$148K (+2.1%), EAC vs. BAC</w:t>
            </w:r>
          </w:p>
        </w:tc>
      </w:tr>
      <w:tr>
        <w:tc>
          <w:tcPr>
            <w:tcW w:type="dxa" w:w="4675"/>
          </w:tcPr>
          <w:p>
            <w:r>
              <w:rPr>
                <w:b w:val="false"/>
                <w:bCs w:val="false"/>
              </w:rPr>
              <w:t xml:space="preserve">Spent to Date</w:t>
            </w:r>
          </w:p>
        </w:tc>
        <w:tc>
          <w:tcPr>
            <w:tcW w:type="dxa" w:w="4675"/>
          </w:tcPr>
          <w:p>
            <w:r>
              <w:rPr>
                <w:b w:val="false"/>
                <w:bCs w:val="false"/>
              </w:rPr>
              <w:t xml:space="preserve">$3.05M</w:t>
            </w:r>
          </w:p>
        </w:tc>
      </w:tr>
      <w:tr>
        <w:tc>
          <w:tcPr>
            <w:tcW w:type="dxa" w:w="4675"/>
          </w:tcPr>
          <w:p>
            <w:r>
              <w:rPr>
                <w:b w:val="false"/>
                <w:bCs w:val="false"/>
              </w:rPr>
              <w:t xml:space="preserve">Forecast at Completion</w:t>
            </w:r>
          </w:p>
        </w:tc>
        <w:tc>
          <w:tcPr>
            <w:tcW w:type="dxa" w:w="4675"/>
          </w:tcPr>
          <w:p>
            <w:r>
              <w:rPr>
                <w:b w:val="false"/>
                <w:bCs w:val="false"/>
              </w:rPr>
              <w:t xml:space="preserve">$7.21M</w:t>
            </w:r>
          </w:p>
        </w:tc>
      </w:tr>
      <w:tr>
        <w:tc>
          <w:tcPr>
            <w:tcW w:type="dxa" w:w="4675"/>
          </w:tcPr>
          <w:p>
            <w:r>
              <w:rPr>
                <w:b w:val="false"/>
                <w:bCs w:val="false"/>
              </w:rPr>
              <w:t xml:space="preserve">Contingency Remaining</w:t>
            </w:r>
          </w:p>
        </w:tc>
        <w:tc>
          <w:tcPr>
            <w:tcW w:type="dxa" w:w="4675"/>
          </w:tcPr>
          <w:p>
            <w:r>
              <w:rPr>
                <w:b w:val="false"/>
                <w:bCs w:val="false"/>
              </w:rPr>
              <w:t xml:space="preserve">$0.58M of $0.642M</w:t>
            </w:r>
          </w:p>
        </w:tc>
      </w:tr>
    </w:tbl>
    <w:p>
      <w:pPr>
        <w:spacing w:after="120"/>
      </w:pPr>
      <w:r>
        <w:rPr>
          <w:i/>
          <w:iCs/>
          <w:color w:val="5B6472"/>
          <w:sz w:val="20"/>
          <w:szCs w:val="20"/>
        </w:rPr>
        <w:t xml:space="preserve">Contingency is currently held in reserve against R-001 (historical claims data quality) in case a third Data Conversion Dry Run cycle is required. No baseline re-plan is recommended at this time.</w:t>
      </w:r>
    </w:p>
    <w:p>
      <w:pPr>
        <w:pStyle w:val="Heading2"/>
        <w:spacing w:after="150" w:before="300"/>
      </w:pPr>
      <w:r>
        <w:t xml:space="preserve">Upcoming Milestones</w:t>
      </w:r>
    </w:p>
    <w:tbl>
      <w:tblPr>
        <w:tblW w:type="dxa" w:w="935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75"/>
        <w:gridCol w:w="2338"/>
        <w:gridCol w:w="2337"/>
      </w:tblGrid>
      <w:tr>
        <w:tc>
          <w:tcPr>
            <w:tcW w:type="dxa" w:w="4675"/>
            <w:shd w:fill="12213B" w:val="clear"/>
          </w:tcPr>
          <w:p>
            <w:r>
              <w:rPr>
                <w:b/>
                <w:bCs/>
                <w:color w:val="FFFFFF"/>
              </w:rPr>
              <w:t xml:space="preserve">Milestone</w:t>
            </w:r>
          </w:p>
        </w:tc>
        <w:tc>
          <w:tcPr>
            <w:tcW w:type="dxa" w:w="2338"/>
            <w:shd w:fill="12213B" w:val="clear"/>
          </w:tcPr>
          <w:p>
            <w:r>
              <w:rPr>
                <w:b/>
                <w:bCs/>
                <w:color w:val="FFFFFF"/>
              </w:rPr>
              <w:t xml:space="preserve">Date</w:t>
            </w:r>
          </w:p>
        </w:tc>
        <w:tc>
          <w:tcPr>
            <w:tcW w:type="dxa" w:w="2337"/>
            <w:shd w:fill="12213B" w:val="clear"/>
          </w:tcPr>
          <w:p>
            <w:r>
              <w:rPr>
                <w:b/>
                <w:bCs/>
                <w:color w:val="FFFFFF"/>
              </w:rPr>
              <w:t xml:space="preserve">Status</w:t>
            </w:r>
          </w:p>
        </w:tc>
      </w:tr>
      <w:tr>
        <w:tc>
          <w:tcPr>
            <w:tcW w:type="dxa" w:w="4675"/>
          </w:tcPr>
          <w:p>
            <w:r>
              <w:rPr>
                <w:b w:val="false"/>
                <w:bCs w:val="false"/>
              </w:rPr>
              <w:t xml:space="preserve">Project Kickoff</w:t>
            </w:r>
          </w:p>
        </w:tc>
        <w:tc>
          <w:tcPr>
            <w:tcW w:type="dxa" w:w="2338"/>
          </w:tcPr>
          <w:p>
            <w:r>
              <w:rPr>
                <w:b w:val="false"/>
                <w:bCs w:val="false"/>
              </w:rPr>
              <w:t xml:space="preserve">04 Aug 26</w:t>
            </w:r>
          </w:p>
        </w:tc>
        <w:tc>
          <w:tcPr>
            <w:tcW w:type="dxa" w:w="2337"/>
          </w:tcPr>
          <w:p>
            <w:r>
              <w:rPr>
                <w:b w:val="false"/>
                <w:bCs w:val="false"/>
              </w:rPr>
              <w:t xml:space="preserve">Complete</w:t>
            </w:r>
          </w:p>
        </w:tc>
      </w:tr>
      <w:tr>
        <w:tc>
          <w:tcPr>
            <w:tcW w:type="dxa" w:w="4675"/>
          </w:tcPr>
          <w:p>
            <w:r>
              <w:rPr>
                <w:b w:val="false"/>
                <w:bCs w:val="false"/>
              </w:rPr>
              <w:t xml:space="preserve">Requirements &amp; Vendor Selection Complete</w:t>
            </w:r>
          </w:p>
        </w:tc>
        <w:tc>
          <w:tcPr>
            <w:tcW w:type="dxa" w:w="2338"/>
          </w:tcPr>
          <w:p>
            <w:r>
              <w:rPr>
                <w:b w:val="false"/>
                <w:bCs w:val="false"/>
              </w:rPr>
              <w:t xml:space="preserve">03 Nov 26</w:t>
            </w:r>
          </w:p>
        </w:tc>
        <w:tc>
          <w:tcPr>
            <w:tcW w:type="dxa" w:w="2337"/>
          </w:tcPr>
          <w:p>
            <w:r>
              <w:rPr>
                <w:b w:val="false"/>
                <w:bCs w:val="false"/>
              </w:rPr>
              <w:t xml:space="preserve">Complete</w:t>
            </w:r>
          </w:p>
        </w:tc>
      </w:tr>
      <w:tr>
        <w:tc>
          <w:tcPr>
            <w:tcW w:type="dxa" w:w="4675"/>
          </w:tcPr>
          <w:p>
            <w:r>
              <w:rPr>
                <w:b w:val="false"/>
                <w:bCs w:val="false"/>
              </w:rPr>
              <w:t xml:space="preserve">System Upgrade Validated</w:t>
            </w:r>
          </w:p>
        </w:tc>
        <w:tc>
          <w:tcPr>
            <w:tcW w:type="dxa" w:w="2338"/>
          </w:tcPr>
          <w:p>
            <w:r>
              <w:rPr>
                <w:b w:val="false"/>
                <w:bCs w:val="false"/>
              </w:rPr>
              <w:t xml:space="preserve">05 Jan 27</w:t>
            </w:r>
          </w:p>
        </w:tc>
        <w:tc>
          <w:tcPr>
            <w:tcW w:type="dxa" w:w="2337"/>
          </w:tcPr>
          <w:p>
            <w:r>
              <w:rPr>
                <w:b w:val="false"/>
                <w:bCs w:val="false"/>
              </w:rPr>
              <w:t xml:space="preserve">Complete</w:t>
            </w:r>
          </w:p>
        </w:tc>
      </w:tr>
      <w:tr>
        <w:tc>
          <w:tcPr>
            <w:tcW w:type="dxa" w:w="4675"/>
          </w:tcPr>
          <w:p>
            <w:r>
              <w:rPr>
                <w:b w:val="false"/>
                <w:bCs w:val="false"/>
              </w:rPr>
              <w:t xml:space="preserve">Data Conversion / Integration Build (current)</w:t>
            </w:r>
          </w:p>
        </w:tc>
        <w:tc>
          <w:tcPr>
            <w:tcW w:type="dxa" w:w="2338"/>
          </w:tcPr>
          <w:p>
            <w:r>
              <w:rPr>
                <w:b w:val="false"/>
                <w:bCs w:val="false"/>
              </w:rPr>
              <w:t xml:space="preserve">In progress</w:t>
            </w:r>
          </w:p>
        </w:tc>
        <w:tc>
          <w:tcPr>
            <w:tcW w:type="dxa" w:w="2337"/>
          </w:tcPr>
          <w:p>
            <w:r>
              <w:rPr>
                <w:b w:val="false"/>
                <w:bCs w:val="false"/>
              </w:rPr>
              <w:t xml:space="preserve">Current</w:t>
            </w:r>
          </w:p>
        </w:tc>
      </w:tr>
      <w:tr>
        <w:tc>
          <w:tcPr>
            <w:tcW w:type="dxa" w:w="4675"/>
          </w:tcPr>
          <w:p>
            <w:r>
              <w:rPr>
                <w:b w:val="false"/>
                <w:bCs w:val="false"/>
              </w:rPr>
              <w:t xml:space="preserve">Data Conversion Sign-off</w:t>
            </w:r>
          </w:p>
        </w:tc>
        <w:tc>
          <w:tcPr>
            <w:tcW w:type="dxa" w:w="2338"/>
          </w:tcPr>
          <w:p>
            <w:r>
              <w:rPr>
                <w:b w:val="false"/>
                <w:bCs w:val="false"/>
              </w:rPr>
              <w:t xml:space="preserve">16 Mar 27</w:t>
            </w:r>
          </w:p>
        </w:tc>
        <w:tc>
          <w:tcPr>
            <w:tcW w:type="dxa" w:w="2337"/>
          </w:tcPr>
          <w:p>
            <w:r>
              <w:rPr>
                <w:b w:val="false"/>
                <w:bCs w:val="false"/>
              </w:rPr>
              <w:t xml:space="preserve">Upcoming</w:t>
            </w:r>
          </w:p>
        </w:tc>
      </w:tr>
      <w:tr>
        <w:tc>
          <w:tcPr>
            <w:tcW w:type="dxa" w:w="4675"/>
          </w:tcPr>
          <w:p>
            <w:r>
              <w:rPr>
                <w:b w:val="false"/>
                <w:bCs w:val="false"/>
              </w:rPr>
              <w:t xml:space="preserve">Integration Build Complete</w:t>
            </w:r>
          </w:p>
        </w:tc>
        <w:tc>
          <w:tcPr>
            <w:tcW w:type="dxa" w:w="2338"/>
          </w:tcPr>
          <w:p>
            <w:r>
              <w:rPr>
                <w:b w:val="false"/>
                <w:bCs w:val="false"/>
              </w:rPr>
              <w:t xml:space="preserve">11 May 27</w:t>
            </w:r>
          </w:p>
        </w:tc>
        <w:tc>
          <w:tcPr>
            <w:tcW w:type="dxa" w:w="2337"/>
          </w:tcPr>
          <w:p>
            <w:r>
              <w:rPr>
                <w:b w:val="false"/>
                <w:bCs w:val="false"/>
              </w:rPr>
              <w:t xml:space="preserve">Upcoming</w:t>
            </w:r>
          </w:p>
        </w:tc>
      </w:tr>
      <w:tr>
        <w:tc>
          <w:tcPr>
            <w:tcW w:type="dxa" w:w="4675"/>
          </w:tcPr>
          <w:p>
            <w:r>
              <w:rPr>
                <w:b w:val="false"/>
                <w:bCs w:val="false"/>
              </w:rPr>
              <w:t xml:space="preserve">Testing Complete / UAT Sign-off</w:t>
            </w:r>
          </w:p>
        </w:tc>
        <w:tc>
          <w:tcPr>
            <w:tcW w:type="dxa" w:w="2338"/>
          </w:tcPr>
          <w:p>
            <w:r>
              <w:rPr>
                <w:b w:val="false"/>
                <w:bCs w:val="false"/>
              </w:rPr>
              <w:t xml:space="preserve">10 Aug 27</w:t>
            </w:r>
          </w:p>
        </w:tc>
        <w:tc>
          <w:tcPr>
            <w:tcW w:type="dxa" w:w="2337"/>
          </w:tcPr>
          <w:p>
            <w:r>
              <w:rPr>
                <w:b w:val="false"/>
                <w:bCs w:val="false"/>
              </w:rPr>
              <w:t xml:space="preserve">Upcoming</w:t>
            </w:r>
          </w:p>
        </w:tc>
      </w:tr>
      <w:tr>
        <w:tc>
          <w:tcPr>
            <w:tcW w:type="dxa" w:w="4675"/>
          </w:tcPr>
          <w:p>
            <w:r>
              <w:rPr>
                <w:b w:val="false"/>
                <w:bCs w:val="false"/>
              </w:rPr>
              <w:t xml:space="preserve">Go-Live (Production Cutover)</w:t>
            </w:r>
          </w:p>
        </w:tc>
        <w:tc>
          <w:tcPr>
            <w:tcW w:type="dxa" w:w="2338"/>
          </w:tcPr>
          <w:p>
            <w:r>
              <w:rPr>
                <w:b w:val="false"/>
                <w:bCs w:val="false"/>
              </w:rPr>
              <w:t xml:space="preserve">24 Aug 27</w:t>
            </w:r>
          </w:p>
        </w:tc>
        <w:tc>
          <w:tcPr>
            <w:tcW w:type="dxa" w:w="2337"/>
          </w:tcPr>
          <w:p>
            <w:r>
              <w:rPr>
                <w:b w:val="false"/>
                <w:bCs w:val="false"/>
              </w:rPr>
              <w:t xml:space="preserve">Upcoming</w:t>
            </w:r>
          </w:p>
        </w:tc>
      </w:tr>
      <w:tr>
        <w:tc>
          <w:tcPr>
            <w:tcW w:type="dxa" w:w="4675"/>
          </w:tcPr>
          <w:p>
            <w:r>
              <w:rPr>
                <w:b w:val="false"/>
                <w:bCs w:val="false"/>
              </w:rPr>
              <w:t xml:space="preserve">Production Support Handover / Closeout</w:t>
            </w:r>
          </w:p>
        </w:tc>
        <w:tc>
          <w:tcPr>
            <w:tcW w:type="dxa" w:w="2338"/>
          </w:tcPr>
          <w:p>
            <w:r>
              <w:rPr>
                <w:b w:val="false"/>
                <w:bCs w:val="false"/>
              </w:rPr>
              <w:t xml:space="preserve">02 Nov 27</w:t>
            </w:r>
          </w:p>
        </w:tc>
        <w:tc>
          <w:tcPr>
            <w:tcW w:type="dxa" w:w="2337"/>
          </w:tcPr>
          <w:p>
            <w:r>
              <w:rPr>
                <w:b w:val="false"/>
                <w:bCs w:val="false"/>
              </w:rPr>
              <w:t xml:space="preserve">Upcoming</w:t>
            </w:r>
          </w:p>
        </w:tc>
      </w:tr>
    </w:tbl>
    <w:p>
      <w:pPr>
        <w:spacing w:before="300"/>
      </w:pPr>
      <w:r>
        <w:rPr>
          <w:i/>
          <w:iCs/>
          <w:color w:val="5B6472"/>
          <w:sz w:val="18"/>
          <w:szCs w:val="18"/>
        </w:rPr>
        <w:t xml:space="preserve">Illustrative program data — built to demonstrate PM tooling and reporting design, not a real client engagement.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2026-07-06T11:04:09.361Z</dcterms:created>
  <dcterms:modified xsi:type="dcterms:W3CDTF">2026-07-06T11:04:09.390Z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