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Enrollment &amp; Claims Platform Modernization</w:t>
      </w:r>
    </w:p>
    <w:p>
      <w:r>
        <w:rPr>
          <w:b w:val="0"/>
          <w:i w:val="0"/>
        </w:rPr>
        <w:t xml:space="preserve">How the staff who will operate the new Enrollment &amp; Claims platform are trained and </w:t>
      </w:r>
      <w:r>
        <w:rPr>
          <w:b w:val="0"/>
          <w:i/>
        </w:rPr>
        <w:t>assessed as competent</w:t>
      </w:r>
      <w:r>
        <w:rPr>
          <w:b w:val="0"/>
          <w:i w:val="0"/>
        </w:rPr>
        <w:t xml:space="preserve"> before cutover, and how the business process documentation is brought current before Go-Live. This plan is the owning document for transition requirements </w:t>
      </w:r>
      <w:r>
        <w:rPr>
          <w:b/>
          <w:i w:val="0"/>
        </w:rPr>
        <w:t>TR-008 and TR-009</w:t>
      </w:r>
      <w:r>
        <w:rPr>
          <w:b w:val="0"/>
          <w:i w:val="0"/>
        </w:rPr>
        <w:t xml:space="preserve">, stated in the </w:t>
      </w:r>
      <w:r>
        <w:rPr>
          <w:b w:val="0"/>
          <w:i w:val="0"/>
        </w:rPr>
        <w:t>Business Requirements Document</w:t>
      </w:r>
      <w:r>
        <w:rPr>
          <w:b w:val="0"/>
          <w:i w:val="0"/>
        </w:rPr>
        <w:t xml:space="preserve"> and traced in the </w:t>
      </w:r>
      <w:r>
        <w:rPr>
          <w:b w:val="0"/>
          <w:i w:val="0"/>
        </w:rPr>
        <w:t>Requirements Traceability Matrix</w:t>
      </w:r>
      <w:r>
        <w:rPr>
          <w:b w:val="0"/>
          <w:i w:val="0"/>
        </w:rPr>
        <w:t xml:space="preserve"> (gap </w:t>
      </w:r>
      <w:r>
        <w:rPr>
          <w:b/>
          <w:i w:val="0"/>
        </w:rPr>
        <w:t>G-03</w:t>
      </w:r>
      <w:r>
        <w:rPr>
          <w:b w:val="0"/>
          <w:i w:val="0"/>
        </w:rPr>
        <w:t>). It is jointly owned by the Training Lead (H. Osei) and the Change Manager (L. Bergström), because training people and updating the process they follow are two halves of one change and fail together if split.</w:t>
      </w:r>
    </w:p>
    <w:p>
      <w:r>
        <w:rPr>
          <w:b w:val="0"/>
          <w:i w:val="0"/>
        </w:rPr>
        <w:t>2</w:t>
      </w:r>
      <w:r>
        <w:rPr>
          <w:b w:val="0"/>
          <w:i w:val="0"/>
        </w:rPr>
        <w:t>Transition reqs owned (TR-008/09)</w:t>
      </w:r>
    </w:p>
    <w:p>
      <w:r>
        <w:rPr>
          <w:b w:val="0"/>
          <w:i w:val="0"/>
        </w:rPr>
        <w:t>Assessed</w:t>
      </w:r>
      <w:r>
        <w:rPr>
          <w:b w:val="0"/>
          <w:i w:val="0"/>
        </w:rPr>
        <w:t>Competency, not attendance</w:t>
      </w:r>
    </w:p>
    <w:p>
      <w:r>
        <w:rPr>
          <w:b w:val="0"/>
          <w:i w:val="0"/>
        </w:rPr>
        <w:t>10 Aug 2027</w:t>
      </w:r>
      <w:r>
        <w:rPr>
          <w:b w:val="0"/>
          <w:i w:val="0"/>
        </w:rPr>
        <w:t>Training complete before UAT</w:t>
      </w:r>
    </w:p>
    <w:p>
      <w:r>
        <w:rPr>
          <w:b w:val="0"/>
          <w:i w:val="0"/>
        </w:rPr>
        <w:t>24 Aug 2027</w:t>
      </w:r>
      <w:r>
        <w:rPr>
          <w:b w:val="0"/>
          <w:i w:val="0"/>
        </w:rPr>
        <w:t>Process docs current by Go-Live</w:t>
      </w:r>
    </w:p>
    <w:p>
      <w:r>
        <w:rPr>
          <w:b w:val="0"/>
          <w:i w:val="0"/>
        </w:rPr>
        <w:t>Role-based</w:t>
      </w:r>
      <w:r>
        <w:rPr>
          <w:b w:val="0"/>
          <w:i w:val="0"/>
        </w:rPr>
        <w:t>Trained to the job, not the system</w:t>
      </w:r>
    </w:p>
    <w:p>
      <w:pPr>
        <w:pStyle w:val="Heading1"/>
      </w:pPr>
      <w:r>
        <w:t>1 · Purpose and what this plan owns G-03</w:t>
      </w:r>
    </w:p>
    <w:p>
      <w:r>
        <w:rPr>
          <w:b w:val="0"/>
          <w:i w:val="0"/>
        </w:rPr>
        <w:t>The RTM records G-03 because training and process-documentation requirements were owned but not documented — named against people in the RAIDD and the resource plan, but with no plan stating what "trained" and "documented" actually mean or when they must be true. An owner without a plan is a name against a risk, not a control. This plan is that control. It defines competency rather than attendance, sets the two deadlines the requirements imply, and ties both to the cutover readiness gate.</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This plan owns</w:t>
            </w:r>
          </w:p>
        </w:tc>
        <w:tc>
          <w:tcPr>
            <w:tcW w:type="dxa" w:w="3312"/>
          </w:tcPr>
          <w:p>
            <w:r>
              <w:rPr>
                <w:sz w:val="17"/>
              </w:rPr>
            </w:r>
            <w:r>
              <w:rPr>
                <w:b/>
                <w:i w:val="0"/>
                <w:sz w:val="17"/>
              </w:rPr>
              <w:t>Requirement (from the BRD)</w:t>
            </w:r>
          </w:p>
        </w:tc>
        <w:tc>
          <w:tcPr>
            <w:tcW w:type="dxa" w:w="3312"/>
          </w:tcPr>
          <w:p>
            <w:r>
              <w:rPr>
                <w:sz w:val="17"/>
              </w:rPr>
            </w:r>
            <w:r>
              <w:rPr>
                <w:b/>
                <w:i w:val="0"/>
                <w:sz w:val="17"/>
              </w:rPr>
              <w:t>Owner</w:t>
            </w:r>
          </w:p>
        </w:tc>
      </w:tr>
      <w:tr>
        <w:tc>
          <w:tcPr>
            <w:tcW w:type="dxa" w:w="3312"/>
          </w:tcPr>
          <w:p>
            <w:r>
              <w:rPr>
                <w:sz w:val="17"/>
              </w:rPr>
            </w:r>
            <w:r>
              <w:rPr>
                <w:b w:val="0"/>
                <w:i w:val="0"/>
                <w:sz w:val="17"/>
              </w:rPr>
              <w:t>Competency</w:t>
            </w:r>
          </w:p>
        </w:tc>
        <w:tc>
          <w:tcPr>
            <w:tcW w:type="dxa" w:w="3312"/>
          </w:tcPr>
          <w:p>
            <w:r>
              <w:rPr>
                <w:sz w:val="17"/>
              </w:rPr>
            </w:r>
            <w:r>
              <w:rPr>
                <w:b/>
                <w:i w:val="0"/>
                <w:sz w:val="17"/>
              </w:rPr>
              <w:t>TR-008</w:t>
            </w:r>
            <w:r>
              <w:rPr>
                <w:b w:val="0"/>
                <w:i w:val="0"/>
                <w:sz w:val="17"/>
              </w:rPr>
              <w:t xml:space="preserve"> — affected staff shall be trained and assessed as competent before cutover</w:t>
            </w:r>
          </w:p>
        </w:tc>
        <w:tc>
          <w:tcPr>
            <w:tcW w:type="dxa" w:w="3312"/>
          </w:tcPr>
          <w:p>
            <w:r>
              <w:rPr>
                <w:sz w:val="17"/>
              </w:rPr>
            </w:r>
            <w:r>
              <w:rPr>
                <w:b w:val="0"/>
                <w:i w:val="0"/>
                <w:sz w:val="17"/>
              </w:rPr>
              <w:t>H. Osei</w:t>
            </w:r>
          </w:p>
        </w:tc>
      </w:tr>
      <w:tr>
        <w:tc>
          <w:tcPr>
            <w:tcW w:type="dxa" w:w="3312"/>
          </w:tcPr>
          <w:p>
            <w:r>
              <w:rPr>
                <w:sz w:val="17"/>
              </w:rPr>
            </w:r>
            <w:r>
              <w:rPr>
                <w:b w:val="0"/>
                <w:i w:val="0"/>
                <w:sz w:val="17"/>
              </w:rPr>
              <w:t>Process documentation</w:t>
            </w:r>
          </w:p>
        </w:tc>
        <w:tc>
          <w:tcPr>
            <w:tcW w:type="dxa" w:w="3312"/>
          </w:tcPr>
          <w:p>
            <w:r>
              <w:rPr>
                <w:sz w:val="17"/>
              </w:rPr>
            </w:r>
            <w:r>
              <w:rPr>
                <w:b/>
                <w:i w:val="0"/>
                <w:sz w:val="17"/>
              </w:rPr>
              <w:t>TR-009</w:t>
            </w:r>
            <w:r>
              <w:rPr>
                <w:b w:val="0"/>
                <w:i w:val="0"/>
                <w:sz w:val="17"/>
              </w:rPr>
              <w:t xml:space="preserve"> — business process documentation shall be updated to reflect the new platform before Go-Live</w:t>
            </w:r>
          </w:p>
        </w:tc>
        <w:tc>
          <w:tcPr>
            <w:tcW w:type="dxa" w:w="3312"/>
          </w:tcPr>
          <w:p>
            <w:r>
              <w:rPr>
                <w:sz w:val="17"/>
              </w:rPr>
            </w:r>
            <w:r>
              <w:rPr>
                <w:b w:val="0"/>
                <w:i w:val="0"/>
                <w:sz w:val="17"/>
              </w:rPr>
              <w:t>L. Bergström</w:t>
            </w:r>
          </w:p>
        </w:tc>
      </w:tr>
    </w:tbl>
    <w:p/>
    <w:p>
      <w:r>
        <w:rPr>
          <w:b/>
          <w:i w:val="0"/>
        </w:rPr>
        <w:t>The word that matters in TR-008 is "assessed."</w:t>
      </w:r>
      <w:r>
        <w:rPr>
          <w:b w:val="0"/>
          <w:i w:val="0"/>
        </w:rPr>
        <w:t xml:space="preserve"> The requirement does not say staff shall be </w:t>
      </w:r>
      <w:r>
        <w:rPr>
          <w:b w:val="0"/>
          <w:i/>
        </w:rPr>
        <w:t>trained</w:t>
      </w:r>
      <w:r>
        <w:rPr>
          <w:b w:val="0"/>
          <w:i w:val="0"/>
        </w:rPr>
        <w:t xml:space="preserve"> — it says trained </w:t>
      </w:r>
      <w:r>
        <w:rPr>
          <w:b w:val="0"/>
          <w:i/>
        </w:rPr>
        <w:t>and assessed as competent</w:t>
      </w:r>
      <w:r>
        <w:rPr>
          <w:b w:val="0"/>
          <w:i w:val="0"/>
        </w:rPr>
        <w:t>. Those are different bars. Attendance proves someone was in the room; competency proves they can do the job on the new platform under real conditions. On a mandatory replacement where the legacy system disappears at cutover, "we ran the training sessions" is not a defensible answer to "can your people process a claim on Monday morning." This plan is built around the second bar, and it makes the evidence for it auditable so that the cutover gate rests on demonstrated competency rather than on assurance.</w:t>
      </w:r>
    </w:p>
    <w:p>
      <w:pPr>
        <w:pStyle w:val="Heading1"/>
      </w:pPr>
      <w:r>
        <w:t>2 · Who is affected, and trained to what Role-based</w:t>
      </w:r>
    </w:p>
    <w:p>
      <w:r>
        <w:rPr>
          <w:b w:val="0"/>
          <w:i w:val="0"/>
        </w:rPr>
        <w:t>Training is designed by role, not by system module. A member-services representative and a claims adjudicator use the same platform to do entirely different jobs; training each on the whole system wastes both their time and teaches neither the specific competency their role requires at cutover. The affected population is segmented by what changes in their actual work.</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Affected group</w:t>
            </w:r>
          </w:p>
        </w:tc>
        <w:tc>
          <w:tcPr>
            <w:tcW w:type="dxa" w:w="3312"/>
          </w:tcPr>
          <w:p>
            <w:r>
              <w:rPr>
                <w:sz w:val="17"/>
              </w:rPr>
            </w:r>
            <w:r>
              <w:rPr>
                <w:b/>
                <w:i w:val="0"/>
                <w:sz w:val="17"/>
              </w:rPr>
              <w:t>What changes for them</w:t>
            </w:r>
          </w:p>
        </w:tc>
        <w:tc>
          <w:tcPr>
            <w:tcW w:type="dxa" w:w="3312"/>
          </w:tcPr>
          <w:p>
            <w:r>
              <w:rPr>
                <w:sz w:val="17"/>
              </w:rPr>
            </w:r>
            <w:r>
              <w:rPr>
                <w:b/>
                <w:i w:val="0"/>
                <w:sz w:val="17"/>
              </w:rPr>
              <w:t>Competency assessed on</w:t>
            </w:r>
          </w:p>
        </w:tc>
      </w:tr>
      <w:tr>
        <w:tc>
          <w:tcPr>
            <w:tcW w:type="dxa" w:w="3312"/>
          </w:tcPr>
          <w:p>
            <w:r>
              <w:rPr>
                <w:sz w:val="17"/>
              </w:rPr>
            </w:r>
            <w:r>
              <w:rPr>
                <w:b w:val="0"/>
                <w:i w:val="0"/>
                <w:sz w:val="17"/>
              </w:rPr>
              <w:t>Claims adjudication</w:t>
            </w:r>
          </w:p>
        </w:tc>
        <w:tc>
          <w:tcPr>
            <w:tcW w:type="dxa" w:w="3312"/>
          </w:tcPr>
          <w:p>
            <w:r>
              <w:rPr>
                <w:sz w:val="17"/>
              </w:rPr>
            </w:r>
            <w:r>
              <w:rPr>
                <w:b w:val="0"/>
                <w:i w:val="0"/>
                <w:sz w:val="17"/>
              </w:rPr>
              <w:t>New adjudication workflow, including date-of-service benefit configuration (</w:t>
            </w:r>
            <w:r>
              <w:rPr>
                <w:b/>
                <w:i w:val="0"/>
                <w:sz w:val="17"/>
              </w:rPr>
              <w:t>FS-005</w:t>
            </w:r>
            <w:r>
              <w:rPr>
                <w:b w:val="0"/>
                <w:i w:val="0"/>
                <w:sz w:val="17"/>
              </w:rPr>
              <w:t>) and converted accumulators (</w:t>
            </w:r>
            <w:r>
              <w:rPr>
                <w:b/>
                <w:i w:val="0"/>
                <w:sz w:val="17"/>
              </w:rPr>
              <w:t>FS-008</w:t>
            </w:r>
            <w:r>
              <w:rPr>
                <w:b w:val="0"/>
                <w:i w:val="0"/>
                <w:sz w:val="17"/>
              </w:rPr>
              <w:t>)</w:t>
            </w:r>
          </w:p>
        </w:tc>
        <w:tc>
          <w:tcPr>
            <w:tcW w:type="dxa" w:w="3312"/>
          </w:tcPr>
          <w:p>
            <w:r>
              <w:rPr>
                <w:sz w:val="17"/>
              </w:rPr>
            </w:r>
            <w:r>
              <w:rPr>
                <w:b w:val="0"/>
                <w:i w:val="0"/>
                <w:sz w:val="17"/>
              </w:rPr>
              <w:t>Adjudicating representative claims correctly on the new platform</w:t>
            </w:r>
          </w:p>
        </w:tc>
      </w:tr>
      <w:tr>
        <w:tc>
          <w:tcPr>
            <w:tcW w:type="dxa" w:w="3312"/>
          </w:tcPr>
          <w:p>
            <w:r>
              <w:rPr>
                <w:sz w:val="17"/>
              </w:rPr>
            </w:r>
            <w:r>
              <w:rPr>
                <w:b w:val="0"/>
                <w:i w:val="0"/>
                <w:sz w:val="17"/>
              </w:rPr>
              <w:t>Member &amp; provider services</w:t>
            </w:r>
          </w:p>
        </w:tc>
        <w:tc>
          <w:tcPr>
            <w:tcW w:type="dxa" w:w="3312"/>
          </w:tcPr>
          <w:p>
            <w:r>
              <w:rPr>
                <w:sz w:val="17"/>
              </w:rPr>
            </w:r>
            <w:r>
              <w:rPr>
                <w:b w:val="0"/>
                <w:i w:val="0"/>
                <w:sz w:val="17"/>
              </w:rPr>
              <w:t>New portal, new member-facing screens, new enrollment workflow</w:t>
            </w:r>
          </w:p>
        </w:tc>
        <w:tc>
          <w:tcPr>
            <w:tcW w:type="dxa" w:w="3312"/>
          </w:tcPr>
          <w:p>
            <w:r>
              <w:rPr>
                <w:sz w:val="17"/>
              </w:rPr>
            </w:r>
            <w:r>
              <w:rPr>
                <w:b w:val="0"/>
                <w:i w:val="0"/>
                <w:sz w:val="17"/>
              </w:rPr>
              <w:t>Completing a member interaction end-to-end without escalation</w:t>
            </w:r>
          </w:p>
        </w:tc>
      </w:tr>
      <w:tr>
        <w:tc>
          <w:tcPr>
            <w:tcW w:type="dxa" w:w="3312"/>
          </w:tcPr>
          <w:p>
            <w:r>
              <w:rPr>
                <w:sz w:val="17"/>
              </w:rPr>
            </w:r>
            <w:r>
              <w:rPr>
                <w:b w:val="0"/>
                <w:i w:val="0"/>
                <w:sz w:val="17"/>
              </w:rPr>
              <w:t>Commission &amp; finance</w:t>
            </w:r>
          </w:p>
        </w:tc>
        <w:tc>
          <w:tcPr>
            <w:tcW w:type="dxa" w:w="3312"/>
          </w:tcPr>
          <w:p>
            <w:r>
              <w:rPr>
                <w:sz w:val="17"/>
              </w:rPr>
            </w:r>
            <w:r>
              <w:rPr>
                <w:b w:val="0"/>
                <w:i w:val="0"/>
                <w:sz w:val="17"/>
              </w:rPr>
              <w:t xml:space="preserve">Commission Management changes, including the </w:t>
            </w:r>
            <w:r>
              <w:rPr>
                <w:b/>
                <w:i w:val="0"/>
                <w:sz w:val="17"/>
              </w:rPr>
              <w:t>I-004</w:t>
            </w:r>
            <w:r>
              <w:rPr>
                <w:b w:val="0"/>
                <w:i w:val="0"/>
                <w:sz w:val="17"/>
              </w:rPr>
              <w:t xml:space="preserve"> spec-vs-legacy resolution</w:t>
            </w:r>
          </w:p>
        </w:tc>
        <w:tc>
          <w:tcPr>
            <w:tcW w:type="dxa" w:w="3312"/>
          </w:tcPr>
          <w:p>
            <w:r>
              <w:rPr>
                <w:sz w:val="17"/>
              </w:rPr>
            </w:r>
            <w:r>
              <w:rPr>
                <w:b w:val="0"/>
                <w:i w:val="0"/>
                <w:sz w:val="17"/>
              </w:rPr>
              <w:t>Producing a correct commission calculation under the new rules</w:t>
            </w:r>
          </w:p>
        </w:tc>
      </w:tr>
      <w:tr>
        <w:tc>
          <w:tcPr>
            <w:tcW w:type="dxa" w:w="3312"/>
          </w:tcPr>
          <w:p>
            <w:r>
              <w:rPr>
                <w:sz w:val="17"/>
              </w:rPr>
            </w:r>
            <w:r>
              <w:rPr>
                <w:b w:val="0"/>
                <w:i w:val="0"/>
                <w:sz w:val="17"/>
              </w:rPr>
              <w:t>Operations &amp; support</w:t>
            </w:r>
          </w:p>
        </w:tc>
        <w:tc>
          <w:tcPr>
            <w:tcW w:type="dxa" w:w="3312"/>
          </w:tcPr>
          <w:p>
            <w:r>
              <w:rPr>
                <w:sz w:val="17"/>
              </w:rPr>
            </w:r>
            <w:r>
              <w:rPr>
                <w:b w:val="0"/>
                <w:i w:val="0"/>
                <w:sz w:val="17"/>
              </w:rPr>
              <w:t>New platform administration, the six integrations, hypercare procedures</w:t>
            </w:r>
          </w:p>
        </w:tc>
        <w:tc>
          <w:tcPr>
            <w:tcW w:type="dxa" w:w="3312"/>
          </w:tcPr>
          <w:p>
            <w:r>
              <w:rPr>
                <w:sz w:val="17"/>
              </w:rPr>
            </w:r>
            <w:r>
              <w:rPr>
                <w:b w:val="0"/>
                <w:i w:val="0"/>
                <w:sz w:val="17"/>
              </w:rPr>
              <w:t>Resolving a representative Sev-2 incident using the new tooling</w:t>
            </w:r>
          </w:p>
        </w:tc>
      </w:tr>
    </w:tbl>
    <w:p/>
    <w:p>
      <w:r>
        <w:rPr>
          <w:b w:val="0"/>
          <w:i w:val="0"/>
        </w:rPr>
        <w:t>Segmenting this way also sizes the training effort honestly: it is not one course delivered to everyone, but four role-specific competencies each assessed against the work that role does at cutover. A group whose work barely changes needs orientation; a group whose core task is re-platformed needs assessed competency. Conflating the two either over-trains the first or under-trains the second.</w:t>
      </w:r>
    </w:p>
    <w:p>
      <w:pPr>
        <w:pStyle w:val="Heading2"/>
      </w:pPr>
      <w:r>
        <w:t>How each role is trained</w:t>
      </w:r>
    </w:p>
    <w:p>
      <w:r>
        <w:rPr>
          <w:b w:val="0"/>
          <w:i w:val="0"/>
        </w:rPr>
        <w:t>Delivery method follows the competency, not convenience. A workflow that must be performed under pressure at cutover is trained by doing it, not by watching it — so the roles whose core task is re-platformed get hands-on practice on the built system, while roles facing a lighter change get proportionally lighter delivery.</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Group</w:t>
            </w:r>
          </w:p>
        </w:tc>
        <w:tc>
          <w:tcPr>
            <w:tcW w:type="dxa" w:w="3312"/>
          </w:tcPr>
          <w:p>
            <w:r>
              <w:rPr>
                <w:sz w:val="17"/>
              </w:rPr>
            </w:r>
            <w:r>
              <w:rPr>
                <w:b/>
                <w:i w:val="0"/>
                <w:sz w:val="17"/>
              </w:rPr>
              <w:t>Primary delivery method</w:t>
            </w:r>
          </w:p>
        </w:tc>
        <w:tc>
          <w:tcPr>
            <w:tcW w:type="dxa" w:w="3312"/>
          </w:tcPr>
          <w:p>
            <w:r>
              <w:rPr>
                <w:sz w:val="17"/>
              </w:rPr>
            </w:r>
            <w:r>
              <w:rPr>
                <w:b/>
                <w:i w:val="0"/>
                <w:sz w:val="17"/>
              </w:rPr>
              <w:t>Why this method</w:t>
            </w:r>
          </w:p>
        </w:tc>
      </w:tr>
      <w:tr>
        <w:tc>
          <w:tcPr>
            <w:tcW w:type="dxa" w:w="3312"/>
          </w:tcPr>
          <w:p>
            <w:r>
              <w:rPr>
                <w:sz w:val="17"/>
              </w:rPr>
            </w:r>
            <w:r>
              <w:rPr>
                <w:b w:val="0"/>
                <w:i w:val="0"/>
                <w:sz w:val="17"/>
              </w:rPr>
              <w:t>Claims adjudication</w:t>
            </w:r>
          </w:p>
        </w:tc>
        <w:tc>
          <w:tcPr>
            <w:tcW w:type="dxa" w:w="3312"/>
          </w:tcPr>
          <w:p>
            <w:r>
              <w:rPr>
                <w:sz w:val="17"/>
              </w:rPr>
            </w:r>
            <w:r>
              <w:rPr>
                <w:b w:val="0"/>
                <w:i w:val="0"/>
                <w:sz w:val="17"/>
              </w:rPr>
              <w:t>Hands-on, instructor-led on the built platform with representative claims</w:t>
            </w:r>
          </w:p>
        </w:tc>
        <w:tc>
          <w:tcPr>
            <w:tcW w:type="dxa" w:w="3312"/>
          </w:tcPr>
          <w:p>
            <w:r>
              <w:rPr>
                <w:sz w:val="17"/>
              </w:rPr>
            </w:r>
            <w:r>
              <w:rPr>
                <w:b w:val="0"/>
                <w:i w:val="0"/>
                <w:sz w:val="17"/>
              </w:rPr>
              <w:t>The competency is procedural and high-consequence; it is only proven by doing it</w:t>
            </w:r>
          </w:p>
        </w:tc>
      </w:tr>
      <w:tr>
        <w:tc>
          <w:tcPr>
            <w:tcW w:type="dxa" w:w="3312"/>
          </w:tcPr>
          <w:p>
            <w:r>
              <w:rPr>
                <w:sz w:val="17"/>
              </w:rPr>
            </w:r>
            <w:r>
              <w:rPr>
                <w:b w:val="0"/>
                <w:i w:val="0"/>
                <w:sz w:val="17"/>
              </w:rPr>
              <w:t>Member &amp; provider services</w:t>
            </w:r>
          </w:p>
        </w:tc>
        <w:tc>
          <w:tcPr>
            <w:tcW w:type="dxa" w:w="3312"/>
          </w:tcPr>
          <w:p>
            <w:r>
              <w:rPr>
                <w:sz w:val="17"/>
              </w:rPr>
            </w:r>
            <w:r>
              <w:rPr>
                <w:b w:val="0"/>
                <w:i w:val="0"/>
                <w:sz w:val="17"/>
              </w:rPr>
              <w:t>Hands-on portal practice plus scripted member-interaction scenarios</w:t>
            </w:r>
          </w:p>
        </w:tc>
        <w:tc>
          <w:tcPr>
            <w:tcW w:type="dxa" w:w="3312"/>
          </w:tcPr>
          <w:p>
            <w:r>
              <w:rPr>
                <w:sz w:val="17"/>
              </w:rPr>
            </w:r>
            <w:r>
              <w:rPr>
                <w:b w:val="0"/>
                <w:i w:val="0"/>
                <w:sz w:val="17"/>
              </w:rPr>
              <w:t>The competency is an end-to-end interaction, not a screen — it is assessed as a whole</w:t>
            </w:r>
          </w:p>
        </w:tc>
      </w:tr>
      <w:tr>
        <w:tc>
          <w:tcPr>
            <w:tcW w:type="dxa" w:w="3312"/>
          </w:tcPr>
          <w:p>
            <w:r>
              <w:rPr>
                <w:sz w:val="17"/>
              </w:rPr>
            </w:r>
            <w:r>
              <w:rPr>
                <w:b w:val="0"/>
                <w:i w:val="0"/>
                <w:sz w:val="17"/>
              </w:rPr>
              <w:t>Commission &amp; finance</w:t>
            </w:r>
          </w:p>
        </w:tc>
        <w:tc>
          <w:tcPr>
            <w:tcW w:type="dxa" w:w="3312"/>
          </w:tcPr>
          <w:p>
            <w:r>
              <w:rPr>
                <w:sz w:val="17"/>
              </w:rPr>
            </w:r>
            <w:r>
              <w:rPr>
                <w:b w:val="0"/>
                <w:i w:val="0"/>
                <w:sz w:val="17"/>
              </w:rPr>
              <w:t>Worked-example sessions on the new calculation rules, including I-004</w:t>
            </w:r>
          </w:p>
        </w:tc>
        <w:tc>
          <w:tcPr>
            <w:tcW w:type="dxa" w:w="3312"/>
          </w:tcPr>
          <w:p>
            <w:r>
              <w:rPr>
                <w:sz w:val="17"/>
              </w:rPr>
            </w:r>
            <w:r>
              <w:rPr>
                <w:b w:val="0"/>
                <w:i w:val="0"/>
                <w:sz w:val="17"/>
              </w:rPr>
              <w:t>The change is rule-based; competency is producing a correct calculation, not navigating a screen</w:t>
            </w:r>
          </w:p>
        </w:tc>
      </w:tr>
      <w:tr>
        <w:tc>
          <w:tcPr>
            <w:tcW w:type="dxa" w:w="3312"/>
          </w:tcPr>
          <w:p>
            <w:r>
              <w:rPr>
                <w:sz w:val="17"/>
              </w:rPr>
            </w:r>
            <w:r>
              <w:rPr>
                <w:b w:val="0"/>
                <w:i w:val="0"/>
                <w:sz w:val="17"/>
              </w:rPr>
              <w:t>Operations &amp; support</w:t>
            </w:r>
          </w:p>
        </w:tc>
        <w:tc>
          <w:tcPr>
            <w:tcW w:type="dxa" w:w="3312"/>
          </w:tcPr>
          <w:p>
            <w:r>
              <w:rPr>
                <w:sz w:val="17"/>
              </w:rPr>
            </w:r>
            <w:r>
              <w:rPr>
                <w:b w:val="0"/>
                <w:i w:val="0"/>
                <w:sz w:val="17"/>
              </w:rPr>
              <w:t>Scenario-based incident drills on the new tooling and integrations</w:t>
            </w:r>
          </w:p>
        </w:tc>
        <w:tc>
          <w:tcPr>
            <w:tcW w:type="dxa" w:w="3312"/>
          </w:tcPr>
          <w:p>
            <w:r>
              <w:rPr>
                <w:sz w:val="17"/>
              </w:rPr>
            </w:r>
            <w:r>
              <w:rPr>
                <w:b w:val="0"/>
                <w:i w:val="0"/>
                <w:sz w:val="17"/>
              </w:rPr>
              <w:t>The competency is diagnosis and resolution, best built by working representative incidents</w:t>
            </w:r>
          </w:p>
        </w:tc>
      </w:tr>
    </w:tbl>
    <w:p/>
    <w:p>
      <w:r>
        <w:rPr>
          <w:b w:val="0"/>
          <w:i w:val="0"/>
        </w:rPr>
        <w:t>Training materials are developed once the platform is built enough to train on the real workflow (see §5), reviewed by the domain process owners so that what is taught is what the domain will actually do, and reused as the reference the process documentation in §4 is built from — one workflow, taught and documented from a single source rather than two diverging ones.</w:t>
      </w:r>
    </w:p>
    <w:p>
      <w:pPr>
        <w:pStyle w:val="Heading1"/>
      </w:pPr>
      <w:r>
        <w:t>3 · Competency assessment — the TR-008 bar TR-008</w:t>
      </w:r>
    </w:p>
    <w:p>
      <w:r>
        <w:rPr>
          <w:b w:val="0"/>
          <w:i w:val="0"/>
        </w:rPr>
        <w:t>Competency is assessed against the job, on the new platform, before cutover. The assessment is not a quiz about the system; it is a demonstration of the work. The design principle is that the assessment mirrors the cutover-day task as closely as possible, because the only competency that matters is the one the person will need on the first Monday.</w:t>
      </w:r>
    </w:p>
    <w:p>
      <w:r>
        <w:rPr>
          <w:b w:val="0"/>
          <w:i w:val="0"/>
        </w:rPr>
        <w:t>1</w:t>
      </w:r>
      <w:r>
        <w:rPr>
          <w:b w:val="0"/>
          <w:i w:val="0"/>
        </w:rPr>
        <w:t>Train to the role</w:t>
      </w:r>
      <w:r>
        <w:rPr>
          <w:b w:val="0"/>
          <w:i w:val="0"/>
        </w:rPr>
        <w:t>Role-specific training delivered on the new platform using representative data — not slideware about the system, but the actual workflow the role will perform.</w:t>
      </w:r>
    </w:p>
    <w:p>
      <w:r>
        <w:rPr>
          <w:b w:val="0"/>
          <w:i w:val="0"/>
        </w:rPr>
        <w:t>2</w:t>
      </w:r>
      <w:r>
        <w:rPr>
          <w:b w:val="0"/>
          <w:i w:val="0"/>
        </w:rPr>
        <w:t>Assess on a representative task</w:t>
      </w:r>
      <w:r>
        <w:rPr>
          <w:b w:val="0"/>
          <w:i w:val="0"/>
        </w:rPr>
        <w:t>Each person completes a representative task for their role — adjudicate a claim, complete a member interaction, produce a commission calculation — and is assessed as competent or not-yet-competent on the outcome.</w:t>
      </w:r>
    </w:p>
    <w:p>
      <w:r>
        <w:rPr>
          <w:b w:val="0"/>
          <w:i w:val="0"/>
        </w:rPr>
        <w:t>3</w:t>
      </w:r>
      <w:r>
        <w:rPr>
          <w:b w:val="0"/>
          <w:i w:val="0"/>
        </w:rPr>
        <w:t>Remediate the not-yet-competent</w:t>
      </w:r>
      <w:r>
        <w:rPr>
          <w:b w:val="0"/>
          <w:i w:val="0"/>
        </w:rPr>
        <w:t>Not-yet-competent is a routing decision, not a failure grade: the person is re-trained on the specific gap and re-assessed. The bar does not move; the support to reach it does.</w:t>
      </w:r>
    </w:p>
    <w:p>
      <w:r>
        <w:rPr>
          <w:b w:val="0"/>
          <w:i w:val="0"/>
        </w:rPr>
        <w:t>4</w:t>
      </w:r>
      <w:r>
        <w:rPr>
          <w:b w:val="0"/>
          <w:i w:val="0"/>
        </w:rPr>
        <w:t>Record competency against the readiness gate</w:t>
      </w:r>
      <w:r>
        <w:rPr>
          <w:b w:val="0"/>
          <w:i w:val="0"/>
        </w:rPr>
        <w:t xml:space="preserve">Assessed competency by role is the evidence the </w:t>
      </w:r>
      <w:r>
        <w:rPr>
          <w:b w:val="0"/>
          <w:i w:val="0"/>
        </w:rPr>
        <w:t>Cutover Plan</w:t>
      </w:r>
      <w:r>
        <w:rPr>
          <w:b w:val="0"/>
          <w:i w:val="0"/>
        </w:rPr>
        <w:t>'s readiness gate checks for "staff trained." A group not yet assessed competent is a no-go input to cutover.</w:t>
      </w:r>
    </w:p>
    <w:p>
      <w:r>
        <w:rPr>
          <w:b/>
          <w:i w:val="0"/>
        </w:rPr>
        <w:t>Training complete before UAT — 10 Aug 2027.</w:t>
      </w:r>
      <w:r>
        <w:rPr>
          <w:b w:val="0"/>
          <w:i w:val="0"/>
        </w:rPr>
        <w:t xml:space="preserve"> The RTM names G-03's deadline as before UAT, and the reason is sequencing: staff who are competent on the new platform make better UAT participants, and UAT surfaces workflow problems that pure system testing misses. Training that finishes after UAT has missed the cycle where trained users would have found the issues. Competency must therefore be established before UAT sign-off, not merely before cutover.</w:t>
      </w:r>
    </w:p>
    <w:p>
      <w:pPr>
        <w:pStyle w:val="Heading2"/>
      </w:pPr>
      <w:r>
        <w:t>What counts as evidence of competency</w:t>
      </w:r>
    </w:p>
    <w:p>
      <w:r>
        <w:rPr>
          <w:b w:val="0"/>
          <w:i w:val="0"/>
        </w:rPr>
        <w:t>Competency evidence is the completed representative task and its outcome, recorded by role — not a signed attendance sheet and not a self-assessment. The distinction is deliberate: an attendance record answers "was this person trained," which is the wrong question; the outcome of a representative task answers "can this person do the job," which is TR-008's actual bar. The evidence is auditable — a claim adjudicated correctly, a member interaction completed without escalation, a commission calculation that reconciles — so that "staff assessed as competent" at the cutover gate is a claim backed by artifacts rather than an assurance.</w:t>
      </w:r>
    </w:p>
    <w:p>
      <w:r>
        <w:rPr>
          <w:b/>
          <w:i w:val="0"/>
        </w:rPr>
        <w:t>Remediation capacity is planned, not improvised.</w:t>
      </w:r>
      <w:r>
        <w:rPr>
          <w:b w:val="0"/>
          <w:i w:val="0"/>
        </w:rPr>
        <w:t xml:space="preserve"> Some proportion of staff will be not-yet-competent at first assessment; that is expected and is why assessment runs with enough lead before the UAT deadline to re-train and re-assess without compressing the schedule. A plan that assumed everyone passes first time would discover its missing remediation capacity exactly when it had no time to add it. The lead time between the built platform (11 May 2027) and the training deadline (10 Aug 2027) exists in part to absorb this.</w:t>
      </w:r>
    </w:p>
    <w:p>
      <w:pPr>
        <w:pStyle w:val="Heading1"/>
      </w:pPr>
      <w:r>
        <w:t>4 · Process documentation — the TR-009 bar TR-009</w:t>
      </w:r>
    </w:p>
    <w:p>
      <w:r>
        <w:rPr>
          <w:b w:val="0"/>
          <w:i w:val="0"/>
        </w:rPr>
        <w:t>TR-009 requires business process documentation to be updated to reflect the new platform before Go-Live — owned by the Change Manager (L. Bergström). This is the half of the change that outlives the training. Training gets a person competent on cutover day; current process documentation is what keeps the next person competent, and the person after that, once the trainers have moved on and the hypercare team has stood down.</w:t>
      </w:r>
    </w:p>
    <w:p>
      <w:pPr>
        <w:pStyle w:val="ListBullet"/>
      </w:pPr>
      <w:r>
        <w:rPr>
          <w:b/>
          <w:i w:val="0"/>
        </w:rPr>
        <w:t>Documentation follows the assessed workflow, not the design.</w:t>
      </w:r>
      <w:r>
        <w:rPr>
          <w:b w:val="0"/>
          <w:i w:val="0"/>
        </w:rPr>
        <w:t xml:space="preserve"> The process docs describe the workflow as it is actually performed and assessed in §3 — not the workflow as originally designed, which the FSD and later change control may have moved. A process document that describes the design rather than the running system is wrong on day one.</w:t>
      </w:r>
    </w:p>
    <w:p>
      <w:pPr>
        <w:pStyle w:val="ListBullet"/>
      </w:pPr>
      <w:r>
        <w:rPr>
          <w:b/>
          <w:i w:val="0"/>
        </w:rPr>
        <w:t>It reflects the I-004 resolution and the date-of-service rule.</w:t>
      </w:r>
      <w:r>
        <w:rPr>
          <w:b w:val="0"/>
          <w:i w:val="0"/>
        </w:rPr>
        <w:t xml:space="preserve"> Where the new platform behaves differently from legacy — the Commission divergence (I-004), date-of-service adjudication (FS-005) — the process documentation states the new behaviour, so that staff following the document produce the correct result rather than the remembered legacy one.</w:t>
      </w:r>
    </w:p>
    <w:p>
      <w:pPr>
        <w:pStyle w:val="ListBullet"/>
      </w:pPr>
      <w:r>
        <w:rPr>
          <w:b/>
          <w:i w:val="0"/>
        </w:rPr>
        <w:t>Current before Go-Live is a hard date.</w:t>
      </w:r>
      <w:r>
        <w:rPr>
          <w:b w:val="0"/>
          <w:i w:val="0"/>
        </w:rPr>
        <w:t xml:space="preserve"> Documentation that lags Go-Live means the platform runs while its own operating manual describes the system it replaced — the exact condition in which staff quietly revert to legacy habits the new platform does not support.</w:t>
      </w:r>
    </w:p>
    <w:p>
      <w:r>
        <w:rPr>
          <w:b/>
          <w:i w:val="0"/>
        </w:rPr>
        <w:t>Why training and documentation share one plan.</w:t>
      </w:r>
      <w:r>
        <w:rPr>
          <w:b w:val="0"/>
          <w:i w:val="0"/>
        </w:rPr>
        <w:t xml:space="preserve"> Split across two plans, they drift: training teaches one workflow while the documentation describes another, and staff are left to reconcile the difference under hypercare pressure. Jointly owned, the assessed workflow in §3 </w:t>
      </w:r>
      <w:r>
        <w:rPr>
          <w:b w:val="0"/>
          <w:i/>
        </w:rPr>
        <w:t>is</w:t>
      </w:r>
      <w:r>
        <w:rPr>
          <w:b w:val="0"/>
          <w:i w:val="0"/>
        </w:rPr>
        <w:t xml:space="preserve"> the documented workflow in §4 — the same process, verified two ways. That is why H. Osei (training) and L. Bergström (documentation) co-own this plan rather than running parallel efforts.</w:t>
      </w:r>
    </w:p>
    <w:p>
      <w:pPr>
        <w:pStyle w:val="Heading1"/>
      </w:pPr>
      <w:r>
        <w:t>5 · Adoption — competency is necessary, not sufficient OCM</w:t>
      </w:r>
    </w:p>
    <w:p>
      <w:r>
        <w:rPr>
          <w:b w:val="0"/>
          <w:i w:val="0"/>
        </w:rPr>
        <w:t xml:space="preserve">A person can be assessed competent and still not adopt the new platform — reverting under pressure to legacy habits, informal workarounds, or shadow spreadsheets that the new system was meant to retire. Competency is what someone </w:t>
      </w:r>
      <w:r>
        <w:rPr>
          <w:b w:val="0"/>
          <w:i/>
        </w:rPr>
        <w:t>can</w:t>
      </w:r>
      <w:r>
        <w:rPr>
          <w:b w:val="0"/>
          <w:i w:val="0"/>
        </w:rPr>
        <w:t xml:space="preserve"> do; adoption is what they actually do once the trainers leave and the deadline pressure of hypercare sets in. This is the Change Manager's domain (L. Bergström), and it is why organisational-change ownership sits in the same plan as training rather than beside it.</w:t>
      </w:r>
    </w:p>
    <w:p>
      <w:pPr>
        <w:pStyle w:val="ListBullet"/>
      </w:pPr>
      <w:r>
        <w:rPr>
          <w:b/>
          <w:i w:val="0"/>
        </w:rPr>
        <w:t>The legacy system disappears, which is the strongest adoption lever there is.</w:t>
      </w:r>
      <w:r>
        <w:rPr>
          <w:b w:val="0"/>
          <w:i w:val="0"/>
        </w:rPr>
        <w:t xml:space="preserve"> On a mandatory replacement, staff cannot quietly keep using the old platform because it will not exist — but they can invent workarounds that route around the new one. Naming that risk is the first defence against it.</w:t>
      </w:r>
    </w:p>
    <w:p>
      <w:pPr>
        <w:pStyle w:val="ListBullet"/>
      </w:pPr>
      <w:r>
        <w:rPr>
          <w:b/>
          <w:i w:val="0"/>
        </w:rPr>
        <w:t>Process documentation is an adoption control, not just a reference.</w:t>
      </w:r>
      <w:r>
        <w:rPr>
          <w:b w:val="0"/>
          <w:i w:val="0"/>
        </w:rPr>
        <w:t xml:space="preserve"> When the documented workflow is current and correct (§4), following it is easier than inventing a workaround. When it is stale, the workaround wins. That is a second reason TR-009 currency is a hard Go-Live date and not a post-cutover cleanup.</w:t>
      </w:r>
    </w:p>
    <w:p>
      <w:pPr>
        <w:pStyle w:val="ListBullet"/>
      </w:pPr>
      <w:r>
        <w:rPr>
          <w:b/>
          <w:i w:val="0"/>
        </w:rPr>
        <w:t>Hypercare is where adoption is observed.</w:t>
      </w:r>
      <w:r>
        <w:rPr>
          <w:b w:val="0"/>
          <w:i w:val="0"/>
        </w:rPr>
        <w:t xml:space="preserve"> The </w:t>
      </w:r>
      <w:r>
        <w:rPr>
          <w:b w:val="0"/>
          <w:i w:val="0"/>
        </w:rPr>
        <w:t>Cutover Plan</w:t>
      </w:r>
      <w:r>
        <w:rPr>
          <w:b w:val="0"/>
          <w:i w:val="0"/>
        </w:rPr>
        <w:t>'s hypercare period is when reversion and workaround behaviour actually surfaces — a Sev-2 pattern of staff unable or unwilling to complete a task the way the platform intends is an adoption signal, and it routes back to targeted re-training rather than to a system change.</w:t>
      </w:r>
    </w:p>
    <w:p>
      <w:r>
        <w:rPr>
          <w:b/>
          <w:i w:val="0"/>
        </w:rPr>
        <w:t>This is why the Communications Plan and this plan interlock.</w:t>
      </w:r>
      <w:r>
        <w:rPr>
          <w:b w:val="0"/>
          <w:i w:val="0"/>
        </w:rPr>
        <w:t xml:space="preserve"> The </w:t>
      </w:r>
      <w:r>
        <w:rPr>
          <w:b w:val="0"/>
          <w:i w:val="0"/>
        </w:rPr>
        <w:t>Communications Plan</w:t>
      </w:r>
      <w:r>
        <w:rPr>
          <w:b w:val="0"/>
          <w:i w:val="0"/>
        </w:rPr>
        <w:t xml:space="preserve"> surfaces Customer Service as the under-served stakeholder and runs a deliberate quiet period; training and adoption are how that stakeholder is actually made ready rather than merely informed. A staff group that is communicated-to but not trained-and-adopted is a group that knows the change is coming and cannot do it.</w:t>
      </w:r>
    </w:p>
    <w:p>
      <w:pPr>
        <w:pStyle w:val="Heading1"/>
      </w:pPr>
      <w:r>
        <w:t>6 · Sequencing against the program Timeline</w:t>
      </w:r>
    </w:p>
    <w:p>
      <w:r>
        <w:rPr>
          <w:b w:val="0"/>
          <w:i w:val="0"/>
        </w:rPr>
        <w:t>The two deadlines this plan owns are not arbitrary; they are placed where the program can actually use their output.</w:t>
      </w:r>
    </w:p>
    <w:p>
      <w:r>
        <w:rPr>
          <w:b w:val="0"/>
          <w:i w:val="0"/>
        </w:rPr>
        <w:t>11 May 2027</w:t>
      </w:r>
      <w:r>
        <w:rPr>
          <w:b/>
          <w:i w:val="0"/>
        </w:rPr>
        <w:t>Integration Build Complete.</w:t>
      </w:r>
      <w:r>
        <w:rPr>
          <w:b w:val="0"/>
          <w:i w:val="0"/>
        </w:rPr>
        <w:t xml:space="preserve"> The platform is feature-complete enough for role-based training to use the real workflow rather than a mock-up. Training material development can begin earlier, but assessed training on representative tasks needs the built system.</w:t>
      </w:r>
      <w:r>
        <w:rPr>
          <w:b w:val="0"/>
          <w:i w:val="0"/>
        </w:rPr>
        <w:t>10 Aug 2027</w:t>
      </w:r>
      <w:r>
        <w:rPr>
          <w:b/>
          <w:i w:val="0"/>
        </w:rPr>
        <w:t>Training complete (TR-008) · UAT Sign-off.</w:t>
      </w:r>
      <w:r>
        <w:rPr>
          <w:b w:val="0"/>
          <w:i w:val="0"/>
        </w:rPr>
        <w:t xml:space="preserve"> Competency assessed by role before UAT, so competent users participate in UAT and surface workflow issues pure system testing would miss.</w:t>
      </w:r>
      <w:r>
        <w:rPr>
          <w:b w:val="0"/>
          <w:i w:val="0"/>
        </w:rPr>
        <w:t>24 Aug 2027</w:t>
      </w:r>
      <w:r>
        <w:rPr>
          <w:b/>
          <w:i w:val="0"/>
        </w:rPr>
        <w:t>Process documentation current (TR-009) · Go-Live.</w:t>
      </w:r>
      <w:r>
        <w:rPr>
          <w:b w:val="0"/>
          <w:i w:val="0"/>
        </w:rPr>
        <w:t xml:space="preserve"> The operating manual matches the running platform before it carries live traffic. Both TR-008 and TR-009 are readiness-gate inputs to the </w:t>
      </w:r>
      <w:r>
        <w:rPr>
          <w:b w:val="0"/>
          <w:i w:val="0"/>
        </w:rPr>
        <w:t>Cutover Plan</w:t>
      </w:r>
      <w:r>
        <w:rPr>
          <w:b w:val="0"/>
          <w:i w:val="0"/>
        </w:rPr>
        <w:t>.</w:t>
      </w:r>
      <w:r>
        <w:rPr>
          <w:b w:val="0"/>
          <w:i w:val="0"/>
        </w:rPr>
        <w:t>02 Nov 2027</w:t>
      </w:r>
      <w:r>
        <w:rPr>
          <w:b/>
          <w:i w:val="0"/>
        </w:rPr>
        <w:t>Support handover / closeout.</w:t>
      </w:r>
      <w:r>
        <w:rPr>
          <w:b w:val="0"/>
          <w:i w:val="0"/>
        </w:rPr>
        <w:t xml:space="preserve"> By closeout, competency and current documentation are what let the hypercare team stand down onto a business that can operate the platform itself.</w:t>
      </w:r>
    </w:p>
    <w:p>
      <w:pPr>
        <w:pStyle w:val="Heading1"/>
      </w:pPr>
      <w:r>
        <w:t>7 · Roles and sign-off Governance</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Role</w:t>
            </w:r>
          </w:p>
        </w:tc>
        <w:tc>
          <w:tcPr>
            <w:tcW w:type="dxa" w:w="3312"/>
          </w:tcPr>
          <w:p>
            <w:r>
              <w:rPr>
                <w:sz w:val="17"/>
              </w:rPr>
            </w:r>
            <w:r>
              <w:rPr>
                <w:b/>
                <w:i w:val="0"/>
                <w:sz w:val="17"/>
              </w:rPr>
              <w:t>Named</w:t>
            </w:r>
          </w:p>
        </w:tc>
        <w:tc>
          <w:tcPr>
            <w:tcW w:type="dxa" w:w="3312"/>
          </w:tcPr>
          <w:p>
            <w:r>
              <w:rPr>
                <w:sz w:val="17"/>
              </w:rPr>
            </w:r>
            <w:r>
              <w:rPr>
                <w:b/>
                <w:i w:val="0"/>
                <w:sz w:val="17"/>
              </w:rPr>
              <w:t>Training accountability</w:t>
            </w:r>
          </w:p>
        </w:tc>
      </w:tr>
      <w:tr>
        <w:tc>
          <w:tcPr>
            <w:tcW w:type="dxa" w:w="3312"/>
          </w:tcPr>
          <w:p>
            <w:r>
              <w:rPr>
                <w:sz w:val="17"/>
              </w:rPr>
            </w:r>
            <w:r>
              <w:rPr>
                <w:b w:val="0"/>
                <w:i w:val="0"/>
                <w:sz w:val="17"/>
              </w:rPr>
              <w:t>Training Lead</w:t>
            </w:r>
          </w:p>
        </w:tc>
        <w:tc>
          <w:tcPr>
            <w:tcW w:type="dxa" w:w="3312"/>
          </w:tcPr>
          <w:p>
            <w:r>
              <w:rPr>
                <w:sz w:val="17"/>
              </w:rPr>
            </w:r>
            <w:r>
              <w:rPr>
                <w:b w:val="0"/>
                <w:i w:val="0"/>
                <w:sz w:val="17"/>
              </w:rPr>
              <w:t>H. Osei</w:t>
            </w:r>
          </w:p>
        </w:tc>
        <w:tc>
          <w:tcPr>
            <w:tcW w:type="dxa" w:w="3312"/>
          </w:tcPr>
          <w:p>
            <w:r>
              <w:rPr>
                <w:sz w:val="17"/>
              </w:rPr>
            </w:r>
            <w:r>
              <w:rPr>
                <w:b w:val="0"/>
                <w:i w:val="0"/>
                <w:sz w:val="17"/>
              </w:rPr>
              <w:t>Owns role-based training design, delivery and competency assessment (TR-008)</w:t>
            </w:r>
          </w:p>
        </w:tc>
      </w:tr>
      <w:tr>
        <w:tc>
          <w:tcPr>
            <w:tcW w:type="dxa" w:w="3312"/>
          </w:tcPr>
          <w:p>
            <w:r>
              <w:rPr>
                <w:sz w:val="17"/>
              </w:rPr>
            </w:r>
            <w:r>
              <w:rPr>
                <w:b w:val="0"/>
                <w:i w:val="0"/>
                <w:sz w:val="17"/>
              </w:rPr>
              <w:t>Change Manager (OCM Lead)</w:t>
            </w:r>
          </w:p>
        </w:tc>
        <w:tc>
          <w:tcPr>
            <w:tcW w:type="dxa" w:w="3312"/>
          </w:tcPr>
          <w:p>
            <w:r>
              <w:rPr>
                <w:sz w:val="17"/>
              </w:rPr>
            </w:r>
            <w:r>
              <w:rPr>
                <w:b w:val="0"/>
                <w:i w:val="0"/>
                <w:sz w:val="17"/>
              </w:rPr>
              <w:t>L. Bergström</w:t>
            </w:r>
          </w:p>
        </w:tc>
        <w:tc>
          <w:tcPr>
            <w:tcW w:type="dxa" w:w="3312"/>
          </w:tcPr>
          <w:p>
            <w:r>
              <w:rPr>
                <w:sz w:val="17"/>
              </w:rPr>
            </w:r>
            <w:r>
              <w:rPr>
                <w:b w:val="0"/>
                <w:i w:val="0"/>
                <w:sz w:val="17"/>
              </w:rPr>
              <w:t>Owns business process documentation currency (TR-009) and the organisational-change view of the transition</w:t>
            </w:r>
          </w:p>
        </w:tc>
      </w:tr>
      <w:tr>
        <w:tc>
          <w:tcPr>
            <w:tcW w:type="dxa" w:w="3312"/>
          </w:tcPr>
          <w:p>
            <w:r>
              <w:rPr>
                <w:sz w:val="17"/>
              </w:rPr>
            </w:r>
            <w:r>
              <w:rPr>
                <w:b w:val="0"/>
                <w:i w:val="0"/>
                <w:sz w:val="17"/>
              </w:rPr>
              <w:t>Business Data / Process Owners</w:t>
            </w:r>
          </w:p>
        </w:tc>
        <w:tc>
          <w:tcPr>
            <w:tcW w:type="dxa" w:w="3312"/>
          </w:tcPr>
          <w:p>
            <w:r>
              <w:rPr>
                <w:sz w:val="17"/>
              </w:rPr>
            </w:r>
            <w:r>
              <w:rPr>
                <w:b w:val="0"/>
                <w:i w:val="0"/>
                <w:sz w:val="17"/>
              </w:rPr>
              <w:t>Per domain</w:t>
            </w:r>
          </w:p>
        </w:tc>
        <w:tc>
          <w:tcPr>
            <w:tcW w:type="dxa" w:w="3312"/>
          </w:tcPr>
          <w:p>
            <w:r>
              <w:rPr>
                <w:sz w:val="17"/>
              </w:rPr>
            </w:r>
            <w:r>
              <w:rPr>
                <w:b w:val="0"/>
                <w:i w:val="0"/>
                <w:sz w:val="17"/>
              </w:rPr>
              <w:t>Confirm the assessed and documented workflow is the correct workflow for their domain</w:t>
            </w:r>
          </w:p>
        </w:tc>
      </w:tr>
      <w:tr>
        <w:tc>
          <w:tcPr>
            <w:tcW w:type="dxa" w:w="3312"/>
          </w:tcPr>
          <w:p>
            <w:r>
              <w:rPr>
                <w:sz w:val="17"/>
              </w:rPr>
            </w:r>
            <w:r>
              <w:rPr>
                <w:b w:val="0"/>
                <w:i w:val="0"/>
                <w:sz w:val="17"/>
              </w:rPr>
              <w:t>Program Manager</w:t>
            </w:r>
          </w:p>
        </w:tc>
        <w:tc>
          <w:tcPr>
            <w:tcW w:type="dxa" w:w="3312"/>
          </w:tcPr>
          <w:p>
            <w:r>
              <w:rPr>
                <w:sz w:val="17"/>
              </w:rPr>
            </w:r>
            <w:r>
              <w:rPr>
                <w:b w:val="0"/>
                <w:i w:val="0"/>
                <w:sz w:val="17"/>
              </w:rPr>
              <w:t>C. Tyrrell</w:t>
            </w:r>
          </w:p>
        </w:tc>
        <w:tc>
          <w:tcPr>
            <w:tcW w:type="dxa" w:w="3312"/>
          </w:tcPr>
          <w:p>
            <w:r>
              <w:rPr>
                <w:sz w:val="17"/>
              </w:rPr>
            </w:r>
            <w:r>
              <w:rPr>
                <w:b w:val="0"/>
                <w:i w:val="0"/>
                <w:sz w:val="17"/>
              </w:rPr>
              <w:t>Confirms training and documentation readiness as inputs to the cutover go/no-go</w:t>
            </w:r>
          </w:p>
        </w:tc>
      </w:tr>
    </w:tbl>
    <w:p/>
    <w:p>
      <w:r>
        <w:rPr>
          <w:b/>
          <w:i w:val="0"/>
        </w:rPr>
        <w:t>Two gates, not one.</w:t>
      </w:r>
      <w:r>
        <w:rPr>
          <w:b w:val="0"/>
          <w:i w:val="0"/>
        </w:rPr>
        <w:t xml:space="preserve"> TR-008 gates at UAT (10 Aug 2027); TR-009 gates at Go-Live (24 Aug 2027). Both feed the </w:t>
      </w:r>
      <w:r>
        <w:rPr>
          <w:b w:val="0"/>
          <w:i w:val="0"/>
        </w:rPr>
        <w:t>Cutover Plan</w:t>
      </w:r>
      <w:r>
        <w:rPr>
          <w:b w:val="0"/>
          <w:i w:val="0"/>
        </w:rPr>
        <w:t>'s conjunctive readiness gate: staff not assessed competent, or documentation not current, is a no-go — because a cutover onto an untrained business with a stale operating manual is a cutover whose technical success the business cannot use.</w:t>
      </w:r>
    </w:p>
    <w:p>
      <w:pPr>
        <w:pStyle w:val="Heading1"/>
      </w:pPr>
      <w:r>
        <w:t>8 · Traceability — this plan against the RTM G-03 closed</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Requirement</w:t>
            </w:r>
          </w:p>
        </w:tc>
        <w:tc>
          <w:tcPr>
            <w:tcW w:type="dxa" w:w="3312"/>
          </w:tcPr>
          <w:p>
            <w:r>
              <w:rPr>
                <w:sz w:val="17"/>
              </w:rPr>
            </w:r>
            <w:r>
              <w:rPr>
                <w:b/>
                <w:i w:val="0"/>
                <w:sz w:val="17"/>
              </w:rPr>
              <w:t>Owned by this plan in</w:t>
            </w:r>
          </w:p>
        </w:tc>
        <w:tc>
          <w:tcPr>
            <w:tcW w:type="dxa" w:w="3312"/>
          </w:tcPr>
          <w:p>
            <w:r>
              <w:rPr>
                <w:sz w:val="17"/>
              </w:rPr>
            </w:r>
            <w:r>
              <w:rPr>
                <w:b/>
                <w:i w:val="0"/>
                <w:sz w:val="17"/>
              </w:rPr>
              <w:t>Status</w:t>
            </w:r>
          </w:p>
        </w:tc>
      </w:tr>
      <w:tr>
        <w:tc>
          <w:tcPr>
            <w:tcW w:type="dxa" w:w="3312"/>
          </w:tcPr>
          <w:p>
            <w:r>
              <w:rPr>
                <w:sz w:val="17"/>
              </w:rPr>
            </w:r>
            <w:r>
              <w:rPr>
                <w:b w:val="0"/>
                <w:i w:val="0"/>
                <w:sz w:val="17"/>
              </w:rPr>
              <w:t>TR-008</w:t>
            </w:r>
          </w:p>
        </w:tc>
        <w:tc>
          <w:tcPr>
            <w:tcW w:type="dxa" w:w="3312"/>
          </w:tcPr>
          <w:p>
            <w:r>
              <w:rPr>
                <w:sz w:val="17"/>
              </w:rPr>
            </w:r>
            <w:r>
              <w:rPr>
                <w:b w:val="0"/>
                <w:i w:val="0"/>
                <w:sz w:val="17"/>
              </w:rPr>
              <w:t>§3 competency assessment (assessed, not attended)</w:t>
            </w:r>
          </w:p>
        </w:tc>
        <w:tc>
          <w:tcPr>
            <w:tcW w:type="dxa" w:w="3312"/>
          </w:tcPr>
          <w:p>
            <w:r>
              <w:rPr>
                <w:sz w:val="17"/>
              </w:rPr>
            </w:r>
            <w:r>
              <w:rPr>
                <w:b w:val="0"/>
                <w:i w:val="0"/>
                <w:sz w:val="17"/>
              </w:rPr>
              <w:t>Owned</w:t>
            </w:r>
          </w:p>
        </w:tc>
      </w:tr>
      <w:tr>
        <w:tc>
          <w:tcPr>
            <w:tcW w:type="dxa" w:w="3312"/>
          </w:tcPr>
          <w:p>
            <w:r>
              <w:rPr>
                <w:sz w:val="17"/>
              </w:rPr>
            </w:r>
            <w:r>
              <w:rPr>
                <w:b w:val="0"/>
                <w:i w:val="0"/>
                <w:sz w:val="17"/>
              </w:rPr>
              <w:t>TR-009</w:t>
            </w:r>
          </w:p>
        </w:tc>
        <w:tc>
          <w:tcPr>
            <w:tcW w:type="dxa" w:w="3312"/>
          </w:tcPr>
          <w:p>
            <w:r>
              <w:rPr>
                <w:sz w:val="17"/>
              </w:rPr>
            </w:r>
            <w:r>
              <w:rPr>
                <w:b w:val="0"/>
                <w:i w:val="0"/>
                <w:sz w:val="17"/>
              </w:rPr>
              <w:t>§4 process documentation currency</w:t>
            </w:r>
          </w:p>
        </w:tc>
        <w:tc>
          <w:tcPr>
            <w:tcW w:type="dxa" w:w="3312"/>
          </w:tcPr>
          <w:p>
            <w:r>
              <w:rPr>
                <w:sz w:val="17"/>
              </w:rPr>
            </w:r>
            <w:r>
              <w:rPr>
                <w:b w:val="0"/>
                <w:i w:val="0"/>
                <w:sz w:val="17"/>
              </w:rPr>
              <w:t>Owned</w:t>
            </w:r>
          </w:p>
        </w:tc>
      </w:tr>
    </w:tbl>
    <w:p/>
    <w:p>
      <w:r>
        <w:rPr>
          <w:b w:val="0"/>
          <w:i w:val="0"/>
        </w:rPr>
        <w:t xml:space="preserve">With this plan, the three RTM transition-requirement gaps close together: the </w:t>
      </w:r>
      <w:r>
        <w:rPr>
          <w:b w:val="0"/>
          <w:i w:val="0"/>
        </w:rPr>
        <w:t>Data Conversion Plan</w:t>
      </w:r>
      <w:r>
        <w:rPr>
          <w:b w:val="0"/>
          <w:i w:val="0"/>
        </w:rPr>
        <w:t xml:space="preserve"> owns TR-001–007 (G-01), the </w:t>
      </w:r>
      <w:r>
        <w:rPr>
          <w:b w:val="0"/>
          <w:i w:val="0"/>
        </w:rPr>
        <w:t>Cutover Plan</w:t>
      </w:r>
      <w:r>
        <w:rPr>
          <w:b w:val="0"/>
          <w:i w:val="0"/>
        </w:rPr>
        <w:t xml:space="preserve"> owns TR-006/007 runbook, TR-010, TR-011 and TR-012 (G-02), and this plan owns TR-008 and TR-009 (G-03). Every transition requirement TR-001 through TR-012 now has exactly one owning plan, and the RTM's open gaps are closed against maintained documents rather than against the FSD and Test Strategy by implication.</w:t>
      </w:r>
    </w:p>
    <w:sectPr w:rsidR="00FC693F" w:rsidRPr="0006063C" w:rsidSect="0003461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