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B3A6B"/>
          <w:sz w:val="40"/>
        </w:rPr>
        <w:t>VENDOR MANAGEMENT PLAN</w:t>
      </w:r>
    </w:p>
    <w:p>
      <w:pPr>
        <w:spacing w:before="0" w:after="40"/>
      </w:pPr>
      <w:r>
        <w:rPr>
          <w:b w:val="0"/>
          <w:color w:val="2B5C8A"/>
          <w:sz w:val="22"/>
        </w:rPr>
        <w:t>Enrollment &amp; Claims Platform Modernization — PM/Healthcare Suite</w:t>
      </w:r>
    </w:p>
    <w:p>
      <w:pPr>
        <w:spacing w:before="0" w:after="200"/>
      </w:pPr>
      <w:r>
        <w:rPr>
          <w:b w:val="0"/>
          <w:color w:val="5B6472"/>
          <w:sz w:val="19"/>
        </w:rPr>
        <w:t>ACME Highland Health  |  Pulaski Advisory Group  |  $99M · 262 people · 36.5 months</w:t>
      </w:r>
    </w:p>
    <w:p>
      <w:r>
        <w:rPr/>
        <w:t xml:space="preserve">How the program manages the platform vendor and supporting suppliers across a fifteen-month delivery. Owned by </w:t>
      </w:r>
      <w:r>
        <w:rPr>
          <w:b/>
        </w:rPr>
        <w:t>W. Donnelly, Vendor / Procurement Manager</w:t>
      </w:r>
      <w:r>
        <w:rPr/>
        <w:t>, with technical authority held by the Solution Architect and commercial authority retained by Procurement.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The structural reality of this engagement.</w:t>
            </w:r>
            <w:r>
              <w:rPr/>
              <w:t xml:space="preserve"> The organization is replacing a platform because its vendor announced end-of-support, and the replacement is delivered by a vendor. The program's central commercial exposure is therefore </w:t>
            </w:r>
            <w:r>
              <w:rPr>
                <w:i/>
              </w:rPr>
              <w:t>dependency</w:t>
            </w:r>
            <w:r>
              <w:rPr/>
              <w:t>: the business case has no genuine "do nothing" option, the go-live date is fixed by the open-enrollment calendar, and the vendor knows both. Vendor management on this program is not adversarial, but it is deliberately unsentimental — clarity of scope, evidence of progress, and contractual recourse are what protect a program that cannot walk away.</w:t>
            </w:r>
          </w:p>
        </w:tc>
      </w:tr>
    </w:tbl>
    <w:p/>
    <w:p>
      <w:pPr>
        <w:pStyle w:val="Heading2"/>
      </w:pPr>
      <w:r>
        <w:rPr>
          <w:color w:val="1B3A6B"/>
        </w:rPr>
        <w:t>01 Purpose &amp; Scope</w:t>
      </w:r>
    </w:p>
    <w:p>
      <w:r>
        <w:rPr/>
        <w:t>This plan governs identification, contracting, oversight and performance management of third parties delivering into the program, and the transition of vendor responsibilities into steady-state support at closeout.</w:t>
      </w:r>
    </w:p>
    <w:p>
      <w:pPr>
        <w:pStyle w:val="Heading3"/>
      </w:pPr>
      <w:r>
        <w:rPr>
          <w:color w:val="2B5C8A"/>
        </w:rPr>
        <w:t>In scope</w:t>
      </w:r>
    </w:p>
    <w:p>
      <w:pPr>
        <w:pStyle w:val="ListBullet"/>
      </w:pPr>
      <w:r>
        <w:rPr/>
        <w:t>The platform vendor delivering the core system upgrade and associated configuration support.</w:t>
      </w:r>
    </w:p>
    <w:p>
      <w:pPr>
        <w:pStyle w:val="ListBullet"/>
      </w:pPr>
      <w:r>
        <w:rPr/>
        <w:t xml:space="preserve">Supporting suppliers engaged for specialist capability, including the external firm performing SOX assessment (decision </w:t>
      </w:r>
      <w:r>
        <w:rPr>
          <w:b/>
        </w:rPr>
        <w:t>D-004</w:t>
      </w:r>
      <w:r>
        <w:rPr/>
        <w:t>).</w:t>
      </w:r>
    </w:p>
    <w:p>
      <w:pPr>
        <w:pStyle w:val="ListBullet"/>
      </w:pPr>
      <w:r>
        <w:rPr/>
        <w:t xml:space="preserve">Offshore delivery capacity engaged under the dual-shore QA model (decision </w:t>
      </w:r>
      <w:r>
        <w:rPr>
          <w:b/>
        </w:rPr>
        <w:t>D-003</w:t>
      </w:r>
      <w:r>
        <w:rPr/>
        <w:t>).</w:t>
      </w:r>
    </w:p>
    <w:p>
      <w:pPr>
        <w:pStyle w:val="ListBullet"/>
      </w:pPr>
      <w:r>
        <w:rPr/>
        <w:t>Vendor deliverables, dependencies, service levels, and the warranty period following Go-Live.</w:t>
      </w:r>
    </w:p>
    <w:p>
      <w:pPr>
        <w:pStyle w:val="Heading3"/>
      </w:pPr>
      <w:r>
        <w:rPr>
          <w:color w:val="2B5C8A"/>
        </w:rPr>
        <w:t>Out of scope</w:t>
      </w:r>
    </w:p>
    <w:p>
      <w:pPr>
        <w:pStyle w:val="ListBullet"/>
      </w:pPr>
      <w:r>
        <w:rPr/>
        <w:t>Enterprise supplier relationships not engaged on this program.</w:t>
      </w:r>
    </w:p>
    <w:p>
      <w:pPr>
        <w:pStyle w:val="ListBullet"/>
      </w:pPr>
      <w:r>
        <w:rPr/>
        <w:t>Ongoing run-state support arrangements beyond the vendor warranty period — these transfer to IT Operations at closeout.</w:t>
      </w:r>
    </w:p>
    <w:p>
      <w:pPr>
        <w:pStyle w:val="ListBullet"/>
      </w:pPr>
      <w:r>
        <w:rPr/>
        <w:t>Downstream system owners, who are internal stakeholders rather than vendors.</w:t>
      </w:r>
    </w:p>
    <w:p>
      <w:pPr>
        <w:pStyle w:val="Heading2"/>
      </w:pPr>
      <w:r>
        <w:rPr>
          <w:color w:val="1B3A6B"/>
        </w:rPr>
        <w:t>02 Vendor Landscape &amp; Roles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Party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Provides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Criticality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Program contact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Platform vendor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Core system version upgrade, configuration support, technical guidance, warranty support — governed by </w:t>
            </w:r>
            <w:r>
              <w:rPr>
                <w:color w:val="2B5C8A"/>
                <w:sz w:val="18"/>
              </w:rPr>
              <w:t>SOW-001</w:t>
            </w:r>
            <w:r>
              <w:rPr>
                <w:sz w:val="18"/>
              </w:rPr>
              <w:t xml:space="preserve"> ($1,850,000)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Critical — single source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 (commercial) · J. Albert (technical)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Integration middleware vendor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Middleware licensing and implementation support for the six downstream integrations ($620,000)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Important — competitively selected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 · M. Castillo (technical)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External SOX assessment firm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Independent assessment of controls over financial reporting (D-004)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Important — independence required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G. Fenwick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Offshore QA capacity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Manual test execution under the dual-shore model (D-003)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Important — capacity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P. Sundaram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Infrastructure &amp; hosting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Environments supporting build, test and production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Important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</w:t>
            </w:r>
          </w:p>
        </w:tc>
      </w:tr>
    </w:tbl>
    <w:p/>
    <w:p>
      <w:pPr>
        <w:pStyle w:val="Heading3"/>
      </w:pPr>
      <w:r>
        <w:rPr>
          <w:color w:val="2B5C8A"/>
        </w:rPr>
        <w:t>Internal accountabilities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Accountability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 — Vendor / Procurement Manager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Owns this plan, the SOW, commercial performance, and all contractual correspondence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 — Program Manager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Accountable for vendor delivery within program schedule and budget; owns Tier 3 escalation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J. Albert — Solution Architect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Technical authority: accepts or rejects vendor technical approach and deliverables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 — System Upgrade Lead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Day-to-day working interface with vendor delivery staff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G. Fenwick — Internal Audit / SOX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Independence of the external assessment firm; no program influence over its findings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Sponsor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Tier 4 escalation; any decision affecting the commercial relationship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Separation of commercial and technical authority is deliberate.</w:t>
            </w:r>
            <w:r>
              <w:rPr/>
              <w:t xml:space="preserve"> The Solution Architect can reject a technical approach without that becoming a commercial dispute, and Procurement can enforce a contractual term without adjudicating a technical argument. Collapsing both into the Program Manager — the common shortcut — means every technical disagreement escalates as a contract issue and every contract issue gets argued on technical merit.</w:t>
            </w:r>
          </w:p>
        </w:tc>
      </w:tr>
    </w:tbl>
    <w:p/>
    <w:p>
      <w:pPr>
        <w:pStyle w:val="Heading2"/>
      </w:pPr>
      <w:r>
        <w:rPr>
          <w:color w:val="1B3A6B"/>
        </w:rPr>
        <w:t>03 Contractual Structure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Instrument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Purpose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Owner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Master agreement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Governing terms: liability, confidentiality, data protection, IP, termination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Legal / Procurement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Statement of Work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Program-specific scope, deliverables, acceptance criteria, milestones and payment schedule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Business Associate Agreement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HIPAA obligations where the vendor may access protected health information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Legal / Compliance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Change orders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Any scope change to vendor-delivered work, priced and approved before work begins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W. Donnelly via </w:t>
            </w:r>
            <w:r>
              <w:rPr>
                <w:color w:val="2B5C8A"/>
                <w:sz w:val="18"/>
              </w:rPr>
              <w:t>change control</w:t>
            </w:r>
          </w:p>
        </w:tc>
      </w:tr>
    </w:tbl>
    <w:p/>
    <w:p>
      <w:pPr>
        <w:pStyle w:val="Heading3"/>
      </w:pPr>
      <w:r>
        <w:rPr>
          <w:color w:val="2B5C8A"/>
        </w:rPr>
        <w:t>SOW content requirements</w:t>
      </w:r>
    </w:p>
    <w:p>
      <w:r>
        <w:rPr/>
        <w:t xml:space="preserve">The SOW is written against the baselined </w:t>
      </w:r>
      <w:r>
        <w:rPr>
          <w:color w:val="2B5C8A"/>
        </w:rPr>
        <w:t>Business Requirements Document</w:t>
      </w:r>
      <w:r>
        <w:rPr/>
        <w:t xml:space="preserve"> so that vendor scope and business need cannot drift apart. It must specify:</w:t>
      </w:r>
    </w:p>
    <w:p>
      <w:pPr>
        <w:pStyle w:val="ListBullet"/>
      </w:pPr>
      <w:r>
        <w:rPr>
          <w:b/>
        </w:rPr>
        <w:t>Deliverables with acceptance criteria</w:t>
      </w:r>
      <w:r>
        <w:rPr/>
        <w:t xml:space="preserve"> — written so that acceptance is a determination, not a negotiation.</w:t>
      </w:r>
    </w:p>
    <w:p>
      <w:pPr>
        <w:pStyle w:val="ListBullet"/>
      </w:pPr>
      <w:r>
        <w:rPr>
          <w:b/>
        </w:rPr>
        <w:t>Milestone-linked payment</w:t>
      </w:r>
      <w:r>
        <w:rPr/>
        <w:t>, with payment following acceptance rather than submission.</w:t>
      </w:r>
    </w:p>
    <w:p>
      <w:pPr>
        <w:pStyle w:val="ListBullet"/>
      </w:pPr>
      <w:r>
        <w:rPr>
          <w:b/>
        </w:rPr>
        <w:t>Named key personnel</w:t>
      </w:r>
      <w:r>
        <w:rPr/>
        <w:t xml:space="preserve"> and notice requirements before substitution.</w:t>
      </w:r>
    </w:p>
    <w:p>
      <w:pPr>
        <w:pStyle w:val="ListBullet"/>
      </w:pPr>
      <w:r>
        <w:rPr>
          <w:b/>
        </w:rPr>
        <w:t>Dependency obligations in both directions</w:t>
      </w:r>
      <w:r>
        <w:rPr/>
        <w:t>, with response-time commitments on vendor-side dependencies.</w:t>
      </w:r>
    </w:p>
    <w:p>
      <w:pPr>
        <w:pStyle w:val="ListBullet"/>
      </w:pPr>
      <w:r>
        <w:rPr>
          <w:b/>
        </w:rPr>
        <w:t>Warranty period</w:t>
      </w:r>
      <w:r>
        <w:rPr/>
        <w:t xml:space="preserve"> with defined defect-remediation obligations following Go-Live.</w:t>
      </w:r>
    </w:p>
    <w:p>
      <w:pPr>
        <w:pStyle w:val="ListBullet"/>
      </w:pPr>
      <w:r>
        <w:rPr>
          <w:b/>
        </w:rPr>
        <w:t>Data protection and PHI handling terms</w:t>
      </w:r>
      <w:r>
        <w:rPr/>
        <w:t xml:space="preserve"> consistent with the BAA.</w:t>
      </w:r>
    </w:p>
    <w:p>
      <w:pPr>
        <w:pStyle w:val="ListBullet"/>
      </w:pPr>
      <w:r>
        <w:rPr>
          <w:b/>
        </w:rPr>
        <w:t>Exit and transition assistance</w:t>
      </w:r>
      <w:r>
        <w:rPr/>
        <w:t xml:space="preserve"> obligations — negotiated at signature, when leverage exists.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The SOW is on the critical path, and that is a known risk.</w:t>
            </w:r>
            <w:r>
              <w:rPr/>
              <w:t xml:space="preserve"> Risk </w:t>
            </w:r>
            <w:r>
              <w:rPr>
                <w:b/>
              </w:rPr>
              <w:t>R-003</w:t>
            </w:r>
            <w:r>
              <w:rPr/>
              <w:t xml:space="preserve"> records that vendor SOW finalization delay could push back environment provisioning and the overall start of build activity. The mitigation is sequencing: the requirements baseline is held at </w:t>
            </w:r>
            <w:r>
              <w:rPr>
                <w:b/>
              </w:rPr>
              <w:t>3 November 2026</w:t>
            </w:r>
            <w:r>
              <w:rPr/>
              <w:t xml:space="preserve"> regardless of SOW status, so that negotiation works against a fixed specification rather than a moving one. A SOW negotiated against unstable requirements takes longer and binds less.</w:t>
            </w:r>
          </w:p>
        </w:tc>
      </w:tr>
    </w:tbl>
    <w:p/>
    <w:p>
      <w:pPr>
        <w:pStyle w:val="Heading2"/>
      </w:pPr>
      <w:r>
        <w:rPr>
          <w:color w:val="1B3A6B"/>
        </w:rPr>
        <w:t>04 Governance &amp; Cadence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Forum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Participants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Purpose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Frequency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delivery working session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Alvarez, vendor delivery lead, J. Albert as needed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Day-to-day progress, blockers, technical questions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Weekly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Vendor governance review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Donnelly, C. Tyrrell, J. Albert, vendor engagement manager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Deliverable status, dependencies, performance scorecard, commercial matters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Bi-weekly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Deliverable acceptance review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J. Albert, relevant workstream lead, W. Donnelly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Formal acceptance or rejection against SOW criteria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Per deliverable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vendor review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Sponsor, C. Tyrrell, vendor senior leadership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Relationship health, systemic issues, escalated matters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Quarterly, or on escalation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Warranty review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Alvarez, IT Operations, vendor support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Defect trends and remediation during warranty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Weekly during warranty</w:t>
            </w:r>
          </w:p>
        </w:tc>
      </w:tr>
    </w:tbl>
    <w:p/>
    <w:p>
      <w:pPr>
        <w:pStyle w:val="Heading2"/>
      </w:pPr>
      <w:r>
        <w:rPr>
          <w:color w:val="1B3A6B"/>
        </w:rPr>
        <w:t>05 Deliverable &amp; Dependency Management</w:t>
      </w:r>
    </w:p>
    <w:p>
      <w:pPr>
        <w:pStyle w:val="Heading3"/>
      </w:pPr>
      <w:r>
        <w:rPr>
          <w:color w:val="2B5C8A"/>
        </w:rPr>
        <w:t>Acceptance discipline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Step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Requirement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Submission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submits against a defined SOW deliverable with stated acceptance criteria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Review window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Fixed review period; the clock is documented so neither party disputes elapsed time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Determination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Accepted, or rejected with specific reference to the criterion not met — never rejected on general dissatisfaction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Rework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Rework cycle defined; repeated rejection on the same criterion escalates to Tier 3</w:t>
            </w:r>
          </w:p>
        </w:tc>
      </w:tr>
      <w:tr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Payment</w:t>
            </w:r>
          </w:p>
        </w:tc>
        <w:tc>
          <w:tcPr>
            <w:tcW w:type="dxa" w:w="4824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Milestone payment released on acceptance, not on submission</w:t>
            </w:r>
          </w:p>
        </w:tc>
      </w:tr>
    </w:tbl>
    <w:p/>
    <w:p>
      <w:pPr>
        <w:pStyle w:val="Heading3"/>
      </w:pPr>
      <w:r>
        <w:rPr>
          <w:color w:val="2B5C8A"/>
        </w:rPr>
        <w:t>Dependencies run both ways</w:t>
      </w:r>
    </w:p>
    <w:p>
      <w:r>
        <w:rPr/>
        <w:t xml:space="preserve">Most vendor disputes on programs of this shape originate in </w:t>
      </w:r>
      <w:r>
        <w:rPr>
          <w:i/>
        </w:rPr>
        <w:t>client-side</w:t>
      </w:r>
      <w:r>
        <w:rPr/>
        <w:t xml:space="preserve"> dependency failure — environments not ready, decisions not made, data not provided — which then becomes an argument about vendor delay. A dependency register tracks both directions, with owner and due date, and is reviewed at every governance session.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Direction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Typical dependency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Consequence of failure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→ program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Upgrade release, configuration guidance, defect fixes, technical documentation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Build and test activity stalls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Program → vendor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Environment provisioning, requirements decisions, test data, SME availability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Vendor delay claim; schedule and cost exposure to the program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An early lesson already recorded.</w:t>
            </w:r>
            <w:r>
              <w:rPr/>
              <w:t xml:space="preserve"> Issue </w:t>
            </w:r>
            <w:r>
              <w:rPr>
                <w:b/>
              </w:rPr>
              <w:t>I-002</w:t>
            </w:r>
            <w:r>
              <w:rPr/>
              <w:t xml:space="preserve"> — the initial vendor-provided test environment lacked production-representative data volume, delaying early integration testing — is exactly the class of dependency failure this register exists to surface. It was a vendor-side dependency that met the letter of the obligation (an environment was provided) without meeting its purpose (an environment that could support meaningful testing). Dependency definitions now state </w:t>
            </w:r>
            <w:r>
              <w:rPr>
                <w:i/>
              </w:rPr>
              <w:t>fitness</w:t>
            </w:r>
            <w:r>
              <w:rPr/>
              <w:t>, not just delivery.</w:t>
            </w:r>
          </w:p>
        </w:tc>
      </w:tr>
    </w:tbl>
    <w:p/>
    <w:p>
      <w:pPr>
        <w:pStyle w:val="Heading2"/>
      </w:pPr>
      <w:r>
        <w:rPr>
          <w:color w:val="1B3A6B"/>
        </w:rPr>
        <w:t>06 Performance Measurement</w:t>
      </w:r>
    </w:p>
    <w:p>
      <w:r>
        <w:rPr/>
        <w:t>Vendor performance is scored on a small number of measures that matter, reviewed at each bi-weekly governance session and trended quarterly.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Measure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Why it is measured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Deliverable on-time submission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≥ 95%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Leading indicator of schedule risk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First-pass acceptance rate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≥ 90%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Quality of what is submitted; repeated rework consumes program capacity, not just vendor capacity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Dependency response within agreed time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≥ 95%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Whether the vendor is unblocking the program or blocking it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Defect resolution within severity SLA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100% critical / high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Warranty and hypercare performance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Key personnel continuity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No unnotified substitution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Continuity of understanding on a complex conversion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Change order accuracy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unpriced scope performed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Prevents scope drift becoming a retrospective invoice</w:t>
            </w:r>
          </w:p>
        </w:tc>
      </w:tr>
    </w:tbl>
    <w:p/>
    <w:p>
      <w:pPr>
        <w:pStyle w:val="Heading3"/>
      </w:pPr>
      <w:r>
        <w:rPr>
          <w:color w:val="2B5C8A"/>
        </w:rPr>
        <w:t>Service level tiers for defect resolution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Severity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Definition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Response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Resolution target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Critical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Production unavailable, data loss or corruption, incorrect claims payment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Immediate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Continuous effort until resolved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High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Core business function unusable with no workaround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Same business day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Defined business-day target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Medium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Function impaired with acceptable workaround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2 business days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Next scheduled release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Low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Cosmetic or minor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5 business days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Backlog</w:t>
            </w:r>
          </w:p>
        </w:tc>
      </w:tr>
    </w:tbl>
    <w:p/>
    <w:p>
      <w:pPr>
        <w:pStyle w:val="Heading2"/>
      </w:pPr>
      <w:r>
        <w:rPr>
          <w:color w:val="1B3A6B"/>
        </w:rPr>
        <w:t>07 Issue Escalation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30"/>
        <w:gridCol w:w="1930"/>
        <w:gridCol w:w="1930"/>
        <w:gridCol w:w="1930"/>
        <w:gridCol w:w="1930"/>
      </w:tblGrid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Tier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Trigger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Program side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Vendor side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Timeframe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Tier 1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Working-level blocker or technical question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M. Alvarez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delivery lead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Same day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Tier 2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Deliverable rejected twice, or dependency missed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W. Donnelly + J. Albert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Vendor engagement manager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3 business days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Tier 3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Schedule, scope or cost impact to the program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C. Tyrrell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account executive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5 business days</w:t>
            </w:r>
          </w:p>
        </w:tc>
      </w:tr>
      <w:tr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Tier 4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Go-Live at risk, or material breach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Sponsor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Vendor senior leadership</w:t>
            </w:r>
          </w:p>
        </w:tc>
        <w:tc>
          <w:tcPr>
            <w:tcW w:type="dxa" w:w="1930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Immediate</w:t>
            </w:r>
          </w:p>
        </w:tc>
      </w:tr>
    </w:tbl>
    <w:p/>
    <w:p>
      <w:r>
        <w:rPr/>
        <w:t>Escalation is a normal governance mechanism, not a hostile act. Issues are escalated on defined triggers rather than on frustration, and every escalation is documented with the evidence supporting it — which is what makes the mechanism credible when it is genuinely needed.</w:t>
      </w:r>
    </w:p>
    <w:p>
      <w:pPr>
        <w:pStyle w:val="Heading2"/>
      </w:pPr>
      <w:r>
        <w:rPr>
          <w:color w:val="1B3A6B"/>
        </w:rPr>
        <w:t>08 Vendor Risk &amp; Contingency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Risk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Exposure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Mitigation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Contingency if realized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R-003</w:t>
            </w:r>
            <w:r>
              <w:rPr>
                <w:sz w:val="18"/>
              </w:rPr>
              <w:t xml:space="preserve"> — SOW finalization delay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Environment provisioning and build start pushed; every downstream window compresses against a fixed Go-Live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Requirements baseline held at 3 Nov 2026; parallel drafting of SOW schedules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Re-sequence build; descope "Should" requirements before compressing test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Single-source dependency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No practical alternative supplier within the schedule; limited commercial leverage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Milestone-linked payment; acceptance discipline; exit assistance negotiated at signature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Executive escalation; contractual remedy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b/>
                <w:sz w:val="18"/>
              </w:rPr>
              <w:t>A-003</w:t>
            </w:r>
            <w:r>
              <w:rPr>
                <w:sz w:val="18"/>
              </w:rPr>
              <w:t xml:space="preserve"> — upgrade approach requires database platform change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 failure would materially change scope, cost and schedule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Assumption tested explicitly during technical validation, not left standing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Formal change order; Steering re-baseline decision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Key personnel substitution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Loss of accumulated understanding of a complex conversion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Named key personnel with notice requirement in the SOW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Require equivalent-or-better replacement plus handover period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Vendor warranty scope dispute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Post-Go-Live defects argued as new work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Warranty scope defined precisely at SOW stage, before goodwill is tested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Escalation with defect evidence; commercial remedy</w:t>
            </w:r>
          </w:p>
        </w:tc>
      </w:tr>
      <w:tr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Offshore capacity variability (</w:t>
            </w:r>
            <w:r>
              <w:rPr>
                <w:b/>
                <w:sz w:val="18"/>
              </w:rPr>
              <w:t>R-002</w:t>
            </w:r>
            <w:r>
              <w:rPr>
                <w:sz w:val="18"/>
              </w:rPr>
              <w:t>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 xml:space="preserve">Test throughput drops (see </w:t>
            </w:r>
            <w:r>
              <w:rPr>
                <w:b/>
                <w:sz w:val="18"/>
              </w:rPr>
              <w:t>I-003</w:t>
            </w:r>
            <w:r>
              <w:rPr>
                <w:sz w:val="18"/>
              </w:rPr>
              <w:t>)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Throughput tracked as a measure; environment access treated as a program dependency</w:t>
            </w:r>
          </w:p>
        </w:tc>
        <w:tc>
          <w:tcPr>
            <w:tcW w:type="dxa" w:w="2412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Rebalance onshore/offshore mix</w:t>
            </w:r>
          </w:p>
        </w:tc>
      </w:tr>
    </w:tbl>
    <w:p/>
    <w:p>
      <w:pPr>
        <w:pStyle w:val="Heading2"/>
      </w:pPr>
      <w:r>
        <w:rPr>
          <w:color w:val="1B3A6B"/>
        </w:rPr>
        <w:t>09 Warranty &amp; Transition to Steady State</w:t>
      </w:r>
    </w:p>
    <w:p>
      <w:r>
        <w:rPr/>
        <w:t>Go-Live is not the end of the vendor relationship; it is the start of the period in which the program discovers what it actually bought.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Vendor obligation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1B3A6B"/>
          </w:tcPr>
          <w:p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Program action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Hypercare (immediately post-cutover)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Elevated support presence; rapid defect remediation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Daily defect review; trend tracked against SLA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Warranty period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Remediation of defects attributable to delivered scope, at no additional charge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Weekly warranty review; defects classified by attribution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Knowledge transfer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Documentation, runbooks and handover to IT Operations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Verified by IT Operations acceptance, not by vendor assertion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Warranty exit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Open defects dispositioned; residual items transitioned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  <w:shd w:val="clear" w:color="auto" w:fill="F4F6F8"/>
          </w:tcPr>
          <w:p>
            <w:r>
              <w:rPr>
                <w:sz w:val="18"/>
              </w:rPr>
            </w:r>
            <w:r>
              <w:rPr>
                <w:sz w:val="18"/>
              </w:rPr>
              <w:t>Formal exit review; unresolved items recorded before closure</w:t>
            </w:r>
          </w:p>
        </w:tc>
      </w:tr>
      <w:tr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Steady-state support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Transitions to the standard support agreement</w:t>
            </w:r>
          </w:p>
        </w:tc>
        <w:tc>
          <w:tcPr>
            <w:tcW w:type="dxa" w:w="3216"/>
            <w:tcBorders>
              <w:top w:val="single" w:sz="4" w:space="0" w:color="D9DEE6"/>
              <w:left w:val="single" w:sz="4" w:space="0" w:color="D9DEE6"/>
              <w:bottom w:val="single" w:sz="4" w:space="0" w:color="D9DEE6"/>
              <w:right w:val="single" w:sz="4" w:space="0" w:color="D9DEE6"/>
            </w:tcBorders>
          </w:tcPr>
          <w:p>
            <w:r>
              <w:rPr>
                <w:sz w:val="18"/>
              </w:rPr>
            </w:r>
            <w:r>
              <w:rPr>
                <w:sz w:val="18"/>
              </w:rPr>
              <w:t>Out of program scope; owned by IT Operations from closeout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Attribution is settled before it is contested.</w:t>
            </w:r>
            <w:r>
              <w:rPr/>
              <w:t xml:space="preserve"> The predictable warranty argument is whether a defect is a delivery defect (vendor remediates) or a change request (client pays). The classification rule is agreed at SOW stage, when neither party knows which side of it they will be on — and defects are classified as they arise, not batched for negotiation at warranty exit when the answer has become financially consequential.</w:t>
            </w:r>
          </w:p>
        </w:tc>
      </w:tr>
    </w:tbl>
    <w:p/>
    <w:p>
      <w:pPr>
        <w:pStyle w:val="Heading2"/>
      </w:pPr>
      <w:r>
        <w:rPr>
          <w:color w:val="1B3A6B"/>
        </w:rPr>
        <w:t>10 Closeout</w:t>
      </w:r>
    </w:p>
    <w:p>
      <w:pPr>
        <w:pStyle w:val="ListBullet"/>
      </w:pPr>
      <w:r>
        <w:rPr/>
        <w:t>All deliverables formally accepted or dispositioned, with acceptance records retained.</w:t>
      </w:r>
    </w:p>
    <w:p>
      <w:pPr>
        <w:pStyle w:val="ListBullet"/>
      </w:pPr>
      <w:r>
        <w:rPr/>
        <w:t>Final invoice reconciliation against the milestone payment schedule; no unpriced work outstanding.</w:t>
      </w:r>
    </w:p>
    <w:p>
      <w:pPr>
        <w:pStyle w:val="ListBullet"/>
      </w:pPr>
      <w:r>
        <w:rPr/>
        <w:t>Warranty obligations either discharged or explicitly carried forward under the support agreement.</w:t>
      </w:r>
    </w:p>
    <w:p>
      <w:pPr>
        <w:pStyle w:val="ListBullet"/>
      </w:pPr>
      <w:r>
        <w:rPr/>
        <w:t>Vendor performance summarized and recorded to inform future supplier selection.</w:t>
      </w:r>
    </w:p>
    <w:p>
      <w:pPr>
        <w:pStyle w:val="ListBullet"/>
      </w:pPr>
      <w:r>
        <w:rPr/>
        <w:t>Access and credentials revoked; data-handling obligations confirmed satisfied under the BAA.</w:t>
      </w:r>
    </w:p>
    <w:p>
      <w:pPr>
        <w:pStyle w:val="ListBullet"/>
      </w:pPr>
      <w:r>
        <w:rPr/>
        <w:t xml:space="preserve">Lessons captured into the </w:t>
      </w:r>
      <w:r>
        <w:rPr>
          <w:color w:val="2B5C8A"/>
        </w:rPr>
        <w:t>Lessons Learned Register</w:t>
      </w:r>
      <w:r>
        <w:rPr/>
        <w:t>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val="clear" w:color="auto" w:fill="EAF1F7"/>
            <w:tcBorders>
              <w:top w:val="single" w:sz="6" w:space="0" w:color="C9D3DE"/>
              <w:left w:val="single" w:sz="6" w:space="0" w:color="C9D3DE"/>
              <w:bottom w:val="single" w:sz="6" w:space="0" w:color="C9D3DE"/>
              <w:right w:val="single" w:sz="6" w:space="0" w:color="C9D3DE"/>
            </w:tcBorders>
          </w:tcPr>
          <w:p>
            <w:pPr>
              <w:spacing w:before="40" w:after="40"/>
            </w:pPr>
            <w:r/>
            <w:r>
              <w:rPr>
                <w:b/>
              </w:rPr>
              <w:t>Governing relationship.</w:t>
            </w:r>
            <w:r>
              <w:rPr/>
              <w:t xml:space="preserve"> This plan operates under the </w:t>
            </w:r>
            <w:r>
              <w:rPr>
                <w:color w:val="2B5C8A"/>
              </w:rPr>
              <w:t>Project Management Plan</w:t>
            </w:r>
            <w:r>
              <w:rPr/>
              <w:t xml:space="preserve"> and the master agreement. Vendor scope derives from the baselined </w:t>
            </w:r>
            <w:r>
              <w:rPr>
                <w:color w:val="2B5C8A"/>
              </w:rPr>
              <w:t>Business Requirements Document</w:t>
            </w:r>
            <w:r>
              <w:rPr/>
              <w:t xml:space="preserve">; scope changes route through the </w:t>
            </w:r>
            <w:r>
              <w:rPr>
                <w:color w:val="2B5C8A"/>
              </w:rPr>
              <w:t>Change Control Log</w:t>
            </w:r>
            <w:r>
              <w:rPr/>
              <w:t xml:space="preserve"> as priced change orders. Vendor risks are carried on the </w:t>
            </w:r>
            <w:r>
              <w:rPr>
                <w:color w:val="2B5C8A"/>
              </w:rPr>
              <w:t>RAIDD Log</w:t>
            </w:r>
            <w:r>
              <w:rPr/>
              <w:t xml:space="preserve">, and vendor-delivered functionality is verified under the </w:t>
            </w:r>
            <w:r>
              <w:rPr>
                <w:color w:val="2B5C8A"/>
              </w:rPr>
              <w:t>Test &amp; Quality Strategy</w:t>
            </w:r>
            <w:r>
              <w:rPr/>
              <w:t>.</w:t>
            </w:r>
          </w:p>
        </w:tc>
      </w:tr>
    </w:tbl>
    <w:p/>
    <w:p>
      <w:pPr>
        <w:spacing w:before="280"/>
      </w:pPr>
      <w:r>
        <w:rPr>
          <w:i/>
          <w:color w:val="5B6472"/>
          <w:sz w:val="16"/>
        </w:rPr>
        <w:t>Illustrative program data for a fictional engagement (Enrollment &amp; Claims Platform Modernization), created to demonstrate program-management and vendor-management practice. The platform vendor is deliberately unnamed, consistent with the rest of the suite. Named roles reconcile to the Resource Plan; risk, issue, assumption and decision references (R-002, R-003, I-002, I-003, A-003, D-003, D-004) to the RAIDD Log. Cross-references: Business Requirements Document · Change Control Log · Test &amp; Quality Strategy.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