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STATEMENT OF WORK</w:t>
      </w:r>
    </w:p>
    <w:p>
      <w:r>
        <w:rPr>
          <w:b/>
          <w:color w:val="12304A"/>
          <w:sz w:val="44"/>
        </w:rPr>
        <w:t>SOW-003</w:t>
      </w:r>
    </w:p>
    <w:p>
      <w:r>
        <w:rPr>
          <w:i/>
          <w:color w:val="6B7280"/>
          <w:sz w:val="17"/>
        </w:rPr>
        <w:t>Illustrative program data for a fictional engagement (Enrollment &amp; Claims Platform Modernization), created to demonstrate program-management and contract-management practice. The $947,000 capped envelope reconciles to the Offshore &amp; Onshore QA Labor line in the Project Budget — a $782,000 baseline increased by CR-004 and CR-007, both approved through program change control. Cross-references: Vendor Management Plan · BRD · Project Budget .</w:t>
      </w:r>
    </w:p>
    <w:p/>
    <w:p>
      <w:r>
        <w:t>Manual test execution capacity under the dual-shore model. Test design and defect triage remain the program's. Issued under the governing master agreement.</w:t>
      </w:r>
    </w:p>
    <w:p>
      <w:pPr>
        <w:spacing w:before="320"/>
      </w:pPr>
      <w:r>
        <w:rPr>
          <w:b/>
          <w:color w:val="12304A"/>
          <w:sz w:val="28"/>
        </w:rPr>
        <w:t>SOW-003 · Offshore Manual Test Execution Capacity</w:t>
      </w:r>
    </w:p>
    <w:p>
      <w:r>
        <w:t>SOW referenceSOW-003 Committed value$947,000 Pricing basisTime and materials against a capped envelope Warranty exitNov 2, 2027</w:t>
      </w:r>
    </w:p>
    <w:p>
      <w:pPr>
        <w:spacing w:before="200"/>
      </w:pPr>
      <w:r>
        <w:rPr>
          <w:b/>
          <w:color w:val="2B5F8E"/>
          <w:sz w:val="23"/>
        </w:rPr>
        <w:t>1 · Parties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SOW reference</w:t>
            </w:r>
          </w:p>
        </w:tc>
        <w:tc>
          <w:tcPr>
            <w:tcW w:type="dxa" w:w="4824"/>
          </w:tcPr>
          <w:p>
            <w:r>
              <w:rPr>
                <w:sz w:val="17"/>
              </w:rPr>
              <w:t>SOW-003 — Offshore Manual Test Execution Capacity</w:t>
            </w:r>
          </w:p>
        </w:tc>
      </w:tr>
      <w:tr>
        <w:tc>
          <w:tcPr>
            <w:tcW w:type="dxa" w:w="4824"/>
          </w:tcPr>
          <w:p>
            <w:r>
              <w:rPr>
                <w:sz w:val="17"/>
              </w:rPr>
              <w:t>Governing agreement</w:t>
            </w:r>
          </w:p>
        </w:tc>
        <w:tc>
          <w:tcPr>
            <w:tcW w:type="dxa" w:w="4824"/>
          </w:tcPr>
          <w:p>
            <w:r>
              <w:rPr>
                <w:sz w:val="17"/>
              </w:rPr>
              <w:t>Master Services Agreement between the Client and the Vendor</w:t>
            </w:r>
          </w:p>
        </w:tc>
      </w:tr>
      <w:tr>
        <w:tc>
          <w:tcPr>
            <w:tcW w:type="dxa" w:w="4824"/>
          </w:tcPr>
          <w:p>
            <w:r>
              <w:rPr>
                <w:sz w:val="17"/>
              </w:rPr>
              <w:t>Client</w:t>
            </w:r>
          </w:p>
        </w:tc>
        <w:tc>
          <w:tcPr>
            <w:tcW w:type="dxa" w:w="4824"/>
          </w:tcPr>
          <w:p>
            <w:r>
              <w:rPr>
                <w:sz w:val="17"/>
              </w:rPr>
              <w:t>The health plan operating the Enrollment &amp; Claims platform ("Client")</w:t>
            </w:r>
          </w:p>
        </w:tc>
      </w:tr>
      <w:tr>
        <w:tc>
          <w:tcPr>
            <w:tcW w:type="dxa" w:w="4824"/>
          </w:tcPr>
          <w:p>
            <w:r>
              <w:rPr>
                <w:sz w:val="17"/>
              </w:rPr>
              <w:t>Vendor</w:t>
            </w:r>
          </w:p>
        </w:tc>
        <w:tc>
          <w:tcPr>
            <w:tcW w:type="dxa" w:w="4824"/>
          </w:tcPr>
          <w:p>
            <w:r>
              <w:rPr>
                <w:sz w:val="17"/>
              </w:rPr>
              <w:t>the offshore quality assurance supplier ("Vendor")</w:t>
            </w:r>
          </w:p>
        </w:tc>
      </w:tr>
      <w:tr>
        <w:tc>
          <w:tcPr>
            <w:tcW w:type="dxa" w:w="4824"/>
          </w:tcPr>
          <w:p>
            <w:r>
              <w:rPr>
                <w:sz w:val="17"/>
              </w:rPr>
              <w:t>Client SOW owner</w:t>
            </w:r>
          </w:p>
        </w:tc>
        <w:tc>
          <w:tcPr>
            <w:tcW w:type="dxa" w:w="4824"/>
          </w:tcPr>
          <w:p>
            <w:r>
              <w:rPr>
                <w:sz w:val="17"/>
              </w:rPr>
              <w:t>W. Donnelly — Vendor / Procurement Manager</w:t>
            </w:r>
          </w:p>
        </w:tc>
      </w:tr>
      <w:tr>
        <w:tc>
          <w:tcPr>
            <w:tcW w:type="dxa" w:w="4824"/>
          </w:tcPr>
          <w:p>
            <w:r>
              <w:rPr>
                <w:sz w:val="17"/>
              </w:rPr>
              <w:t>Client technical authority</w:t>
            </w:r>
          </w:p>
        </w:tc>
        <w:tc>
          <w:tcPr>
            <w:tcW w:type="dxa" w:w="4824"/>
          </w:tcPr>
          <w:p>
            <w:r>
              <w:rPr>
                <w:sz w:val="17"/>
              </w:rPr>
              <w:t>R. Whitfield — QA / Test Lead (Onshore)</w:t>
            </w:r>
          </w:p>
        </w:tc>
      </w:tr>
      <w:tr>
        <w:tc>
          <w:tcPr>
            <w:tcW w:type="dxa" w:w="4824"/>
          </w:tcPr>
          <w:p>
            <w:r>
              <w:rPr>
                <w:sz w:val="17"/>
              </w:rPr>
              <w:t>Client program authority</w:t>
            </w:r>
          </w:p>
        </w:tc>
        <w:tc>
          <w:tcPr>
            <w:tcW w:type="dxa" w:w="4824"/>
          </w:tcPr>
          <w:p>
            <w:r>
              <w:rPr>
                <w:sz w:val="17"/>
              </w:rPr>
              <w:t>C. Tyrrell — Program Manager</w:t>
            </w:r>
          </w:p>
        </w:tc>
      </w:tr>
      <w:tr>
        <w:tc>
          <w:tcPr>
            <w:tcW w:type="dxa" w:w="4824"/>
          </w:tcPr>
          <w:p>
            <w:r>
              <w:rPr>
                <w:sz w:val="17"/>
              </w:rPr>
              <w:t>Term</w:t>
            </w:r>
          </w:p>
        </w:tc>
        <w:tc>
          <w:tcPr>
            <w:tcW w:type="dxa" w:w="4824"/>
          </w:tcPr>
          <w:p>
            <w:r>
              <w:rPr>
                <w:sz w:val="17"/>
              </w:rPr>
              <w:t>From execution through warranty exit at program closeout, Nov 2, 2027</w:t>
            </w:r>
          </w:p>
        </w:tc>
      </w:tr>
      <w:tr>
        <w:tc>
          <w:tcPr>
            <w:tcW w:type="dxa" w:w="4824"/>
          </w:tcPr>
          <w:p>
            <w:r>
              <w:rPr>
                <w:sz w:val="17"/>
              </w:rPr>
              <w:t>Pricing basis</w:t>
            </w:r>
          </w:p>
        </w:tc>
        <w:tc>
          <w:tcPr>
            <w:tcW w:type="dxa" w:w="4824"/>
          </w:tcPr>
          <w:p>
            <w:r>
              <w:rPr>
                <w:sz w:val="17"/>
              </w:rPr>
              <w:t>Time and materials against a capped envelope</w:t>
            </w:r>
          </w:p>
        </w:tc>
      </w:tr>
    </w:tbl>
    <w:p/>
    <w:p>
      <w:pPr>
        <w:spacing w:before="200"/>
      </w:pPr>
      <w:r>
        <w:rPr>
          <w:b/>
          <w:color w:val="2B5F8E"/>
          <w:sz w:val="23"/>
        </w:rPr>
        <w:t>2 · Scope</w:t>
      </w:r>
    </w:p>
    <w:p>
      <w:r>
        <w:t>The program runs a dual-shore test model. Test design, defect triage and release decisions stay onshore with the Client's QA lead; manual execution runs offshore. This Statement of Work buys the execution capacity and nothing else.</w:t>
      </w:r>
    </w:p>
    <w:p>
      <w:r>
        <w:t>The split is not a cost decision alone. A supplier paid by the hour should not be the party deciding how many hours of testing are needed, nor whether a defect is a defect. Keeping design and triage with the Client removes that conflict entirely, and it is why the scope below reads as narrowly as it does. The Vendor executes what it is given, reports what it observes, and proposes a severity that the Client sets.</w:t>
      </w:r>
    </w:p>
    <w:p>
      <w:r>
        <w:t>In scope. Manual execution of Client-authored test cases in Client-provided environments; defect raising with reproduction steps, evidence and environment detail; re-test of resolved defects; daily execution reporting; and a named coordination lead attending the Client's daily test stand-up.</w:t>
      </w:r>
    </w:p>
    <w:p>
      <w:r>
        <w:t>Out of scope. Test case design, which is the Client's. Deciding severity or priority — the Vendor proposes, the Client sets. Automation of any kind; this engagement is manual execution only. Any access to production, which the Vendor never receives. Any work on records outside the agreed masked test data set.</w:t>
      </w:r>
    </w:p>
    <w:p>
      <w:r>
        <w:t>Anything not described in this section is out of scope. In particular, a request to investigate a failure outside an assigned test case is a variation, however small it appears at the time.</w:t>
      </w:r>
    </w:p>
    <w:p>
      <w:pPr>
        <w:spacing w:before="200"/>
      </w:pPr>
      <w:r>
        <w:rPr>
          <w:b/>
          <w:color w:val="2B5F8E"/>
          <w:sz w:val="23"/>
        </w:rPr>
        <w:t>3 · Approach</w:t>
      </w:r>
    </w:p>
    <w:p>
      <w:r>
        <w:t>Execution runs in cycles opened and closed by the Client. Within a cycle the Vendor works an assigned set of cases, reports daily on what was planned against what was executed, and raises defects with enough evidence that the onshore team can triage without a conversation. The measure of a good execution team is not how many defects it raises but how few are returned as tester error.</w:t>
      </w:r>
    </w:p>
    <w:p>
      <w:r>
        <w:t>The engagement is staffed with a named coordination lead and named testers. Continuity matters more than headcount in manual execution: a tester who has run a cycle knows which parts of the application are fragile, and that knowledge is lost entirely when the person is replaced. The Vendor therefore commits to a turnover ceiling rather than only to a team size.</w:t>
      </w:r>
    </w:p>
    <w:p>
      <w:r>
        <w:t>Reporting is designed so the Client can see trouble early. The daily report distinguishes cases blocked from cases failed, because the two have different owners: a failure is the program's defect to fix, while a blocker is usually an environment or data problem on the Client's side. Conflating them hides the Client's own bottleneck inside the supplier's numbers.</w:t>
      </w:r>
    </w:p>
    <w:p>
      <w:r>
        <w:t>Evidence is captured as the work is done rather than reconstructed at the end. The exit evidence pack is a by-product of daily discipline, not a separate effort, and it is written to be sufficient for the Client's SOX control testing without further Vendor input.</w:t>
      </w:r>
    </w:p>
    <w:p>
      <w:pPr>
        <w:spacing w:before="200"/>
      </w:pPr>
      <w:r>
        <w:rPr>
          <w:b/>
          <w:color w:val="2B5F8E"/>
          <w:sz w:val="23"/>
        </w:rPr>
        <w:t>4 · Delivery Phases</w:t>
      </w:r>
    </w:p>
    <w:p>
      <w:pPr>
        <w:spacing w:before="160"/>
      </w:pPr>
      <w:r>
        <w:rPr>
          <w:b/>
          <w:color w:val="12304A"/>
          <w:sz w:val="21"/>
        </w:rPr>
        <w:t>Phase 1 — Mobilization</w:t>
      </w:r>
    </w:p>
    <w:p>
      <w:r>
        <w:t>A named, inducted team with proven environment access before any case is executed against a real build.</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Name the coordination lead and the tester roster.</w:t>
            </w:r>
          </w:p>
        </w:tc>
      </w:tr>
      <w:tr>
        <w:tc>
          <w:tcPr>
            <w:tcW w:type="dxa" w:w="9648"/>
          </w:tcPr>
          <w:p>
            <w:r>
              <w:rPr>
                <w:sz w:val="17"/>
              </w:rPr>
              <w:t>Provision and prove environment and defect-tool access for each tester.</w:t>
            </w:r>
          </w:p>
        </w:tc>
      </w:tr>
      <w:tr>
        <w:tc>
          <w:tcPr>
            <w:tcW w:type="dxa" w:w="9648"/>
          </w:tcPr>
          <w:p>
            <w:r>
              <w:rPr>
                <w:sz w:val="17"/>
              </w:rPr>
              <w:t>Induct the team on the Client's test process and defect standards.</w:t>
            </w:r>
          </w:p>
        </w:tc>
      </w:tr>
      <w:tr>
        <w:tc>
          <w:tcPr>
            <w:tcW w:type="dxa" w:w="9648"/>
          </w:tcPr>
          <w:p>
            <w:r>
              <w:rPr>
                <w:sz w:val="17"/>
              </w:rPr>
              <w:t>Run a dry cycle against a stable build to prove the reporting chain.</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D-Q1</w:t>
            </w:r>
          </w:p>
        </w:tc>
        <w:tc>
          <w:tcPr>
            <w:tcW w:type="dxa" w:w="2412"/>
          </w:tcPr>
          <w:p>
            <w:r>
              <w:rPr>
                <w:sz w:val="17"/>
              </w:rPr>
              <w:t>Staffed and inducted test team</w:t>
            </w:r>
          </w:p>
        </w:tc>
        <w:tc>
          <w:tcPr>
            <w:tcW w:type="dxa" w:w="2412"/>
          </w:tcPr>
          <w:p>
            <w:r>
              <w:rPr>
                <w:sz w:val="17"/>
              </w:rPr>
              <w:t>Named testers onboarded, environment access proven, induction completed against the Client's test process, dry cycle reported.</w:t>
            </w:r>
          </w:p>
        </w:tc>
        <w:tc>
          <w:tcPr>
            <w:tcW w:type="dxa" w:w="2412"/>
          </w:tcPr>
          <w:p>
            <w:r>
              <w:rPr>
                <w:sz w:val="17"/>
              </w:rPr>
              <w:t>5 BD</w:t>
            </w:r>
          </w:p>
        </w:tc>
      </w:tr>
    </w:tbl>
    <w:p/>
    <w:p>
      <w:pPr>
        <w:spacing w:before="160"/>
      </w:pPr>
      <w:r>
        <w:rPr>
          <w:b/>
          <w:color w:val="12304A"/>
          <w:sz w:val="21"/>
        </w:rPr>
        <w:t>Phase 2 — Cycle execution</w:t>
      </w:r>
    </w:p>
    <w:p>
      <w:r>
        <w:t>Assigned cases executed and reported daily, with defects raised to the agreed evidence standard.</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Execute assigned cases and record results the same day.</w:t>
            </w:r>
          </w:p>
        </w:tc>
      </w:tr>
      <w:tr>
        <w:tc>
          <w:tcPr>
            <w:tcW w:type="dxa" w:w="9648"/>
          </w:tcPr>
          <w:p>
            <w:r>
              <w:rPr>
                <w:sz w:val="17"/>
              </w:rPr>
              <w:t>Raise defects with reproduction steps, evidence and environment detail.</w:t>
            </w:r>
          </w:p>
        </w:tc>
      </w:tr>
      <w:tr>
        <w:tc>
          <w:tcPr>
            <w:tcW w:type="dxa" w:w="9648"/>
          </w:tcPr>
          <w:p>
            <w:r>
              <w:rPr>
                <w:sz w:val="17"/>
              </w:rPr>
              <w:t>Re-test resolved defects within one Business Day of assignment.</w:t>
            </w:r>
          </w:p>
        </w:tc>
      </w:tr>
      <w:tr>
        <w:tc>
          <w:tcPr>
            <w:tcW w:type="dxa" w:w="9648"/>
          </w:tcPr>
          <w:p>
            <w:r>
              <w:rPr>
                <w:sz w:val="17"/>
              </w:rPr>
              <w:t>Attend the Client's daily stand-up and report blockers by name.</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D-Q2</w:t>
            </w:r>
          </w:p>
        </w:tc>
        <w:tc>
          <w:tcPr>
            <w:tcW w:type="dxa" w:w="2412"/>
          </w:tcPr>
          <w:p>
            <w:r>
              <w:rPr>
                <w:sz w:val="17"/>
              </w:rPr>
              <w:t>Daily execution report</w:t>
            </w:r>
          </w:p>
        </w:tc>
        <w:tc>
          <w:tcPr>
            <w:tcW w:type="dxa" w:w="2412"/>
          </w:tcPr>
          <w:p>
            <w:r>
              <w:rPr>
                <w:sz w:val="17"/>
              </w:rPr>
              <w:t>Issued each Business Day by 09:00 Client time, covering cases planned, executed, passed, failed and blocked, with every blocker named and owned.</w:t>
            </w:r>
          </w:p>
        </w:tc>
        <w:tc>
          <w:tcPr>
            <w:tcW w:type="dxa" w:w="2412"/>
          </w:tcPr>
          <w:p>
            <w:r>
              <w:rPr>
                <w:sz w:val="17"/>
              </w:rPr>
              <w:t>1 BD</w:t>
            </w:r>
          </w:p>
        </w:tc>
      </w:tr>
    </w:tbl>
    <w:p/>
    <w:p>
      <w:pPr>
        <w:spacing w:before="160"/>
      </w:pPr>
      <w:r>
        <w:rPr>
          <w:b/>
          <w:color w:val="12304A"/>
          <w:sz w:val="21"/>
        </w:rPr>
        <w:t>Phase 3 — Cycle close and evidence</w:t>
      </w:r>
    </w:p>
    <w:p>
      <w:r>
        <w:t>Each cycle closed with a reconciliation against plan, and evidence sufficient for the Client's control testing.</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Reconcile execution against the cycle plan, naming cases not executed.</w:t>
            </w:r>
          </w:p>
        </w:tc>
      </w:tr>
      <w:tr>
        <w:tc>
          <w:tcPr>
            <w:tcW w:type="dxa" w:w="9648"/>
          </w:tcPr>
          <w:p>
            <w:r>
              <w:rPr>
                <w:sz w:val="17"/>
              </w:rPr>
              <w:t>Summarize defects raised by severity and re-test outcomes.</w:t>
            </w:r>
          </w:p>
        </w:tc>
      </w:tr>
      <w:tr>
        <w:tc>
          <w:tcPr>
            <w:tcW w:type="dxa" w:w="9648"/>
          </w:tcPr>
          <w:p>
            <w:r>
              <w:rPr>
                <w:sz w:val="17"/>
              </w:rPr>
              <w:t>Assemble the execution evidence pack for the cycle.</w:t>
            </w:r>
          </w:p>
        </w:tc>
      </w:tr>
      <w:tr>
        <w:tc>
          <w:tcPr>
            <w:tcW w:type="dxa" w:w="9648"/>
          </w:tcPr>
          <w:p>
            <w:r>
              <w:rPr>
                <w:sz w:val="17"/>
              </w:rPr>
              <w:t>Hand over open defects with current state to the onshore team.</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D-Q3</w:t>
            </w:r>
          </w:p>
        </w:tc>
        <w:tc>
          <w:tcPr>
            <w:tcW w:type="dxa" w:w="2412"/>
          </w:tcPr>
          <w:p>
            <w:r>
              <w:rPr>
                <w:sz w:val="17"/>
              </w:rPr>
              <w:t>Cycle completion report</w:t>
            </w:r>
          </w:p>
        </w:tc>
        <w:tc>
          <w:tcPr>
            <w:tcW w:type="dxa" w:w="2412"/>
          </w:tcPr>
          <w:p>
            <w:r>
              <w:rPr>
                <w:sz w:val="17"/>
              </w:rPr>
              <w:t>Execution against plan, defects raised by severity, re-test outcomes, and every case not executed listed with its reason.</w:t>
            </w:r>
          </w:p>
        </w:tc>
        <w:tc>
          <w:tcPr>
            <w:tcW w:type="dxa" w:w="2412"/>
          </w:tcPr>
          <w:p>
            <w:r>
              <w:rPr>
                <w:sz w:val="17"/>
              </w:rPr>
              <w:t>5 BD</w:t>
            </w:r>
          </w:p>
        </w:tc>
      </w:tr>
      <w:tr>
        <w:tc>
          <w:tcPr>
            <w:tcW w:type="dxa" w:w="2412"/>
          </w:tcPr>
          <w:p>
            <w:r>
              <w:rPr>
                <w:sz w:val="17"/>
              </w:rPr>
              <w:t>D-Q4</w:t>
            </w:r>
          </w:p>
        </w:tc>
        <w:tc>
          <w:tcPr>
            <w:tcW w:type="dxa" w:w="2412"/>
          </w:tcPr>
          <w:p>
            <w:r>
              <w:rPr>
                <w:sz w:val="17"/>
              </w:rPr>
              <w:t>Exit evidence pack</w:t>
            </w:r>
          </w:p>
        </w:tc>
        <w:tc>
          <w:tcPr>
            <w:tcW w:type="dxa" w:w="2412"/>
          </w:tcPr>
          <w:p>
            <w:r>
              <w:rPr>
                <w:sz w:val="17"/>
              </w:rPr>
              <w:t>Complete execution evidence for the cycle, sufficient for the Client's SOX control testing without further Vendor input.</w:t>
            </w:r>
          </w:p>
        </w:tc>
        <w:tc>
          <w:tcPr>
            <w:tcW w:type="dxa" w:w="2412"/>
          </w:tcPr>
          <w:p>
            <w:r>
              <w:rPr>
                <w:sz w:val="17"/>
              </w:rPr>
              <w:t>10 BD</w:t>
            </w:r>
          </w:p>
        </w:tc>
      </w:tr>
    </w:tbl>
    <w:p/>
    <w:p>
      <w:pPr>
        <w:spacing w:before="200"/>
      </w:pPr>
      <w:r>
        <w:rPr>
          <w:b/>
          <w:color w:val="2B5F8E"/>
          <w:sz w:val="23"/>
        </w:rPr>
        <w:t>5 · Acceptance</w:t>
      </w:r>
    </w:p>
    <w:p>
      <w:r>
        <w:t>Each Deliverable is submitted with the evidence its acceptance criteria call for. The Client has the stated Review Period to accept, or to reject in writing with specific, criterion-by-criterion reasons. Silence for the whole Review Period is acceptance — deemed acceptance — because a program cannot hold a supplier to a date while leaving its own review open-ended.</w:t>
      </w:r>
    </w:p>
    <w:p>
      <w:r>
        <w:t>A rejection must identify which criterion failed and how. An objection that the Deliverable is not what was expected, where it meets every stated criterion, is a variation rather than a rejection. The Vendor re-submits within ten Business Days and a second Review Period of five Business Days runs. A Deliverable rejected twice on the same criterion is escalated rather than looped.</w:t>
      </w:r>
    </w:p>
    <w:p>
      <w:r>
        <w:t>The Review Period is deliberately short and deliberately symmetrical. The Client gains a fixed window in which to find defects; the Vendor gains certainty that the window closes.</w:t>
      </w:r>
    </w:p>
    <w:p>
      <w:pPr>
        <w:spacing w:before="200"/>
      </w:pPr>
      <w:r>
        <w:rPr>
          <w:b/>
          <w:color w:val="2B5F8E"/>
          <w:sz w:val="23"/>
        </w:rPr>
        <w:t>6 · Timeline and Resourcing</w:t>
      </w:r>
    </w:p>
    <w:p>
      <w:r>
        <w:t>The engagement runs from execution to warranty exit at program closeout on Nov 2, 2027, across the cycles the Client opens. Capacity is drawn down against a capped envelope rather than committed as a fixed team for a fixed period, so a cycle that is not opened costs nothing.</w:t>
      </w:r>
    </w:p>
    <w:p>
      <w:r>
        <w:t>The table below shows who is involved on each side. The offshore rows are named because they appear in the program's own Resource Plan with their hours; the Client rows are shown because the Vendor's dates depend on them.</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Role</w:t>
            </w:r>
          </w:p>
        </w:tc>
        <w:tc>
          <w:tcPr>
            <w:tcW w:type="dxa" w:w="2412"/>
          </w:tcPr>
          <w:p>
            <w:r>
              <w:rPr>
                <w:b/>
                <w:sz w:val="17"/>
              </w:rPr>
              <w:t>Responsibilities</w:t>
            </w:r>
          </w:p>
        </w:tc>
        <w:tc>
          <w:tcPr>
            <w:tcW w:type="dxa" w:w="2412"/>
          </w:tcPr>
          <w:p>
            <w:r>
              <w:rPr>
                <w:b/>
                <w:sz w:val="17"/>
              </w:rPr>
              <w:t>Effort</w:t>
            </w:r>
          </w:p>
        </w:tc>
        <w:tc>
          <w:tcPr>
            <w:tcW w:type="dxa" w:w="2412"/>
          </w:tcPr>
          <w:p>
            <w:r>
              <w:rPr>
                <w:b/>
                <w:sz w:val="17"/>
              </w:rPr>
              <w:t>Organization</w:t>
            </w:r>
          </w:p>
        </w:tc>
      </w:tr>
      <w:tr>
        <w:tc>
          <w:tcPr>
            <w:tcW w:type="dxa" w:w="2412"/>
          </w:tcPr>
          <w:p>
            <w:r>
              <w:rPr>
                <w:sz w:val="17"/>
              </w:rPr>
              <w:t>QA / Test Lead (Onshore)</w:t>
            </w:r>
          </w:p>
        </w:tc>
        <w:tc>
          <w:tcPr>
            <w:tcW w:type="dxa" w:w="2412"/>
          </w:tcPr>
          <w:p>
            <w:r>
              <w:rPr>
                <w:sz w:val="17"/>
              </w:rPr>
              <w:t>Authors test cases; sets defect severity and priority; opens and closes cycles</w:t>
            </w:r>
          </w:p>
        </w:tc>
        <w:tc>
          <w:tcPr>
            <w:tcW w:type="dxa" w:w="2412"/>
          </w:tcPr>
          <w:p>
            <w:r>
              <w:rPr>
                <w:sz w:val="17"/>
              </w:rPr>
              <w:t>1,800 h</w:t>
            </w:r>
          </w:p>
        </w:tc>
        <w:tc>
          <w:tcPr>
            <w:tcW w:type="dxa" w:w="2412"/>
          </w:tcPr>
          <w:p>
            <w:r>
              <w:rPr>
                <w:sz w:val="17"/>
              </w:rPr>
              <w:t>Client — Onshore (US) · R. Whitfield</w:t>
            </w:r>
          </w:p>
        </w:tc>
      </w:tr>
      <w:tr>
        <w:tc>
          <w:tcPr>
            <w:tcW w:type="dxa" w:w="2412"/>
          </w:tcPr>
          <w:p>
            <w:r>
              <w:rPr>
                <w:sz w:val="17"/>
              </w:rPr>
              <w:t>Offshore QA Coordination Lead</w:t>
            </w:r>
          </w:p>
        </w:tc>
        <w:tc>
          <w:tcPr>
            <w:tcW w:type="dxa" w:w="2412"/>
          </w:tcPr>
          <w:p>
            <w:r>
              <w:rPr>
                <w:sz w:val="17"/>
              </w:rPr>
              <w:t>Attends daily stand-up; single point of escalation; owns the daily report</w:t>
            </w:r>
          </w:p>
        </w:tc>
        <w:tc>
          <w:tcPr>
            <w:tcW w:type="dxa" w:w="2412"/>
          </w:tcPr>
          <w:p>
            <w:r>
              <w:rPr>
                <w:sz w:val="17"/>
              </w:rPr>
              <w:t>1,400 h</w:t>
            </w:r>
          </w:p>
        </w:tc>
        <w:tc>
          <w:tcPr>
            <w:tcW w:type="dxa" w:w="2412"/>
          </w:tcPr>
          <w:p>
            <w:r>
              <w:rPr>
                <w:sz w:val="17"/>
              </w:rPr>
              <w:t>Offshore · P. Sundaram</w:t>
            </w:r>
          </w:p>
        </w:tc>
      </w:tr>
      <w:tr>
        <w:tc>
          <w:tcPr>
            <w:tcW w:type="dxa" w:w="2412"/>
          </w:tcPr>
          <w:p>
            <w:r>
              <w:rPr>
                <w:sz w:val="17"/>
              </w:rPr>
              <w:t>QA Manual Tester</w:t>
            </w:r>
          </w:p>
        </w:tc>
        <w:tc>
          <w:tcPr>
            <w:tcW w:type="dxa" w:w="2412"/>
          </w:tcPr>
          <w:p>
            <w:r>
              <w:rPr>
                <w:sz w:val="17"/>
              </w:rPr>
              <w:t>Executes assigned cases; raises defects to the evidence standard</w:t>
            </w:r>
          </w:p>
        </w:tc>
        <w:tc>
          <w:tcPr>
            <w:tcW w:type="dxa" w:w="2412"/>
          </w:tcPr>
          <w:p>
            <w:r>
              <w:rPr>
                <w:sz w:val="17"/>
              </w:rPr>
              <w:t>1,400 h</w:t>
            </w:r>
          </w:p>
        </w:tc>
        <w:tc>
          <w:tcPr>
            <w:tcW w:type="dxa" w:w="2412"/>
          </w:tcPr>
          <w:p>
            <w:r>
              <w:rPr>
                <w:sz w:val="17"/>
              </w:rPr>
              <w:t>Offshore · V. Rao</w:t>
            </w:r>
          </w:p>
        </w:tc>
      </w:tr>
      <w:tr>
        <w:tc>
          <w:tcPr>
            <w:tcW w:type="dxa" w:w="2412"/>
          </w:tcPr>
          <w:p>
            <w:r>
              <w:rPr>
                <w:sz w:val="17"/>
              </w:rPr>
              <w:t>QA Manual Tester</w:t>
            </w:r>
          </w:p>
        </w:tc>
        <w:tc>
          <w:tcPr>
            <w:tcW w:type="dxa" w:w="2412"/>
          </w:tcPr>
          <w:p>
            <w:r>
              <w:rPr>
                <w:sz w:val="17"/>
              </w:rPr>
              <w:t>Executes assigned cases; raises defects to the evidence standard</w:t>
            </w:r>
          </w:p>
        </w:tc>
        <w:tc>
          <w:tcPr>
            <w:tcW w:type="dxa" w:w="2412"/>
          </w:tcPr>
          <w:p>
            <w:r>
              <w:rPr>
                <w:sz w:val="17"/>
              </w:rPr>
              <w:t>1,400 h</w:t>
            </w:r>
          </w:p>
        </w:tc>
        <w:tc>
          <w:tcPr>
            <w:tcW w:type="dxa" w:w="2412"/>
          </w:tcPr>
          <w:p>
            <w:r>
              <w:rPr>
                <w:sz w:val="17"/>
              </w:rPr>
              <w:t>Offshore · S. Banerjee</w:t>
            </w:r>
          </w:p>
        </w:tc>
      </w:tr>
      <w:tr>
        <w:tc>
          <w:tcPr>
            <w:tcW w:type="dxa" w:w="2412"/>
          </w:tcPr>
          <w:p>
            <w:r>
              <w:rPr>
                <w:sz w:val="17"/>
              </w:rPr>
              <w:t>QA Manual Tester</w:t>
            </w:r>
          </w:p>
        </w:tc>
        <w:tc>
          <w:tcPr>
            <w:tcW w:type="dxa" w:w="2412"/>
          </w:tcPr>
          <w:p>
            <w:r>
              <w:rPr>
                <w:sz w:val="17"/>
              </w:rPr>
              <w:t>Executes assigned cases; re-tests resolved defects</w:t>
            </w:r>
          </w:p>
        </w:tc>
        <w:tc>
          <w:tcPr>
            <w:tcW w:type="dxa" w:w="2412"/>
          </w:tcPr>
          <w:p>
            <w:r>
              <w:rPr>
                <w:sz w:val="17"/>
              </w:rPr>
              <w:t>1,200 h</w:t>
            </w:r>
          </w:p>
        </w:tc>
        <w:tc>
          <w:tcPr>
            <w:tcW w:type="dxa" w:w="2412"/>
          </w:tcPr>
          <w:p>
            <w:r>
              <w:rPr>
                <w:sz w:val="17"/>
              </w:rPr>
              <w:t>Offshore · N. Fernandes</w:t>
            </w:r>
          </w:p>
        </w:tc>
      </w:tr>
      <w:tr>
        <w:tc>
          <w:tcPr>
            <w:tcW w:type="dxa" w:w="2412"/>
          </w:tcPr>
          <w:p>
            <w:r>
              <w:rPr>
                <w:sz w:val="17"/>
              </w:rPr>
              <w:t>System Upgrade Lead / Platform Engineer</w:t>
            </w:r>
          </w:p>
        </w:tc>
        <w:tc>
          <w:tcPr>
            <w:tcW w:type="dxa" w:w="2412"/>
          </w:tcPr>
          <w:p>
            <w:r>
              <w:rPr>
                <w:sz w:val="17"/>
              </w:rPr>
              <w:t>Test environments and masked data</w:t>
            </w:r>
          </w:p>
        </w:tc>
        <w:tc>
          <w:tcPr>
            <w:tcW w:type="dxa" w:w="2412"/>
          </w:tcPr>
          <w:p>
            <w:r>
              <w:rPr>
                <w:sz w:val="17"/>
              </w:rPr>
              <w:t>835 h</w:t>
            </w:r>
          </w:p>
        </w:tc>
        <w:tc>
          <w:tcPr>
            <w:tcW w:type="dxa" w:w="2412"/>
          </w:tcPr>
          <w:p>
            <w:r>
              <w:rPr>
                <w:sz w:val="17"/>
              </w:rPr>
              <w:t>Client — Onshore (US) · M. Alvarez</w:t>
            </w:r>
          </w:p>
        </w:tc>
      </w:tr>
      <w:tr>
        <w:tc>
          <w:tcPr>
            <w:tcW w:type="dxa" w:w="2412"/>
          </w:tcPr>
          <w:p>
            <w:r>
              <w:rPr>
                <w:sz w:val="17"/>
              </w:rPr>
              <w:t>Vendor / Procurement Manager</w:t>
            </w:r>
          </w:p>
        </w:tc>
        <w:tc>
          <w:tcPr>
            <w:tcW w:type="dxa" w:w="2412"/>
          </w:tcPr>
          <w:p>
            <w:r>
              <w:rPr>
                <w:sz w:val="17"/>
              </w:rPr>
              <w:t>Commercial owner of this SOW; signs variations</w:t>
            </w:r>
          </w:p>
        </w:tc>
        <w:tc>
          <w:tcPr>
            <w:tcW w:type="dxa" w:w="2412"/>
          </w:tcPr>
          <w:p>
            <w:r>
              <w:rPr>
                <w:sz w:val="17"/>
              </w:rPr>
              <w:t>600 h</w:t>
            </w:r>
          </w:p>
        </w:tc>
        <w:tc>
          <w:tcPr>
            <w:tcW w:type="dxa" w:w="2412"/>
          </w:tcPr>
          <w:p>
            <w:r>
              <w:rPr>
                <w:sz w:val="17"/>
              </w:rPr>
              <w:t>Client — Onshore (US) · W. Donnelly</w:t>
            </w:r>
          </w:p>
        </w:tc>
      </w:tr>
    </w:tbl>
    <w:p/>
    <w:p>
      <w:pPr>
        <w:spacing w:before="200"/>
      </w:pPr>
      <w:r>
        <w:rPr>
          <w:b/>
          <w:color w:val="2B5F8E"/>
          <w:sz w:val="23"/>
        </w:rPr>
        <w:t>7 · Fees and Payment</w:t>
      </w:r>
    </w:p>
    <w:p>
      <w:r>
        <w:t>Charged monthly in arrears on hours actually worked and evidenced, at the rates in the rate card, against a capped envelope of $947,000.</w:t>
      </w:r>
    </w:p>
    <w:p>
      <w:pPr>
        <w:pStyle w:val="ListBullet"/>
      </w:pPr>
      <w:r>
        <w:t>Hours are evidenced by the daily execution reports. An hour without a corresponding execution record is not payable.</w:t>
      </w:r>
    </w:p>
    <w:p>
      <w:pPr>
        <w:pStyle w:val="ListBullet"/>
      </w:pPr>
      <w:r>
        <w:t>The Vendor notifies the Client in writing on reaching 80% of the envelope. Work beyond the cap requires an executed variation before it is performed.</w:t>
      </w:r>
    </w:p>
    <w:p>
      <w:pPr>
        <w:pStyle w:val="ListBullet"/>
      </w:pPr>
      <w:r>
        <w:t>Re-test of a defect caused by the Vendor's own execution error is not chargeable.</w:t>
      </w:r>
    </w:p>
    <w:p>
      <w:pPr>
        <w:pStyle w:val="ListBullet"/>
      </w:pPr>
      <w:r>
        <w:t>Time lost to blocked environments is reported but not charged as execution.</w:t>
      </w:r>
    </w:p>
    <w:p>
      <w:r>
        <w:t>Invoices are payable thirty days from receipt of a correct invoice. The Client may withhold the disputed portion of an invoice, and only that portion.</w:t>
      </w:r>
    </w:p>
    <w:p>
      <w:pPr>
        <w:spacing w:before="200"/>
      </w:pPr>
      <w:r>
        <w:rPr>
          <w:b/>
          <w:color w:val="2B5F8E"/>
          <w:sz w:val="23"/>
        </w:rPr>
        <w:t>8 · Assumptions</w:t>
      </w:r>
    </w:p>
    <w:p>
      <w:r>
        <w:t>The dates and the price in this Statement of Work rest on the following. Each is stated so that its failure is visible rather than argued about later; where one fails, the consequence is handled under Project Variations.</w:t>
      </w:r>
    </w:p>
    <w:p>
      <w:pPr>
        <w:pStyle w:val="ListBullet"/>
      </w:pPr>
      <w:r>
        <w:t>Test cases, scripts and expected results are supplied by the Client before a cycle opens. The Vendor does not author them and does not infer them.</w:t>
      </w:r>
    </w:p>
    <w:p>
      <w:pPr>
        <w:pStyle w:val="ListBullet"/>
      </w:pPr>
      <w:r>
        <w:t>Test environments are stable and available during the Client's business day. Environment downtime is reported as blocked, not failed, and is not chargeable as execution.</w:t>
      </w:r>
    </w:p>
    <w:p>
      <w:pPr>
        <w:pStyle w:val="ListBullet"/>
      </w:pPr>
      <w:r>
        <w:t>Masked test data meeting the agreed profile is available. The Vendor never receives production data.</w:t>
      </w:r>
    </w:p>
    <w:p>
      <w:pPr>
        <w:pStyle w:val="ListBullet"/>
      </w:pPr>
      <w:r>
        <w:t>Defect triage and severity decisions are returned within one Business Day, so re-test capacity is not left idle.</w:t>
      </w:r>
    </w:p>
    <w:p>
      <w:pPr>
        <w:pStyle w:val="ListBullet"/>
      </w:pPr>
      <w:r>
        <w:t>The capped envelope of $947,000 is a ceiling, not a commitment. The Client pays for capacity used.</w:t>
      </w:r>
    </w:p>
    <w:p>
      <w:pPr>
        <w:pStyle w:val="ListBullet"/>
      </w:pPr>
      <w:r>
        <w:t>Tester access to the Client's environments and defect tool is provisioned before mobilization completes.</w:t>
      </w:r>
    </w:p>
    <w:p>
      <w:pPr>
        <w:spacing w:before="200"/>
      </w:pPr>
      <w:r>
        <w:rPr>
          <w:b/>
          <w:color w:val="2B5F8E"/>
          <w:sz w:val="23"/>
        </w:rPr>
        <w:t>9 · Project Variations</w:t>
      </w:r>
    </w:p>
    <w:p>
      <w:r>
        <w:t>Either party may propose a variation. The Vendor prices it within five Business Days, stating the effect on fees, on dates, and on any other Deliverable. No variation takes effect until both parties sign, and work performed in anticipation of one is at the Vendor's own cost — the clause exists so that goodwill work does not arrive later as an invoice.</w:t>
      </w:r>
    </w:p>
    <w:p>
      <w:r>
        <w:t>Where an assumption in the preceding section fails, the consequence is handled here rather than absorbed silently. A failed dependency moves the affected dates by the period of delay and no more; it does not reopen scope or price unless the parties agree that it should.</w:t>
      </w:r>
    </w:p>
    <w:p>
      <w:r>
        <w:t>A variation that alters the program baseline set at the Nov 3, 2026 milestone is additionally subject to program change control and the Change Control Board, not to this SOW alone. A change within the SOW is a commercial matter between the parties; a change to the baseline is a program matter that other work packages depend on.</w:t>
      </w:r>
    </w:p>
    <w:p>
      <w:pPr>
        <w:spacing w:before="200"/>
      </w:pPr>
      <w:r>
        <w:rPr>
          <w:b/>
          <w:color w:val="2B5F8E"/>
          <w:sz w:val="23"/>
        </w:rPr>
        <w:t>10 · Terminology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Review Period</w:t>
            </w:r>
          </w:p>
        </w:tc>
        <w:tc>
          <w:tcPr>
            <w:tcW w:type="dxa" w:w="4824"/>
          </w:tcPr>
          <w:p>
            <w:r>
              <w:rPr>
                <w:sz w:val="17"/>
              </w:rPr>
              <w:t>The period stated against each Deliverable, running from the Client's receipt of it, during which the Client may reject in writing.</w:t>
            </w:r>
          </w:p>
        </w:tc>
      </w:tr>
      <w:tr>
        <w:tc>
          <w:tcPr>
            <w:tcW w:type="dxa" w:w="4824"/>
          </w:tcPr>
          <w:p>
            <w:r>
              <w:rPr>
                <w:sz w:val="17"/>
              </w:rPr>
              <w:t>Deemed acceptance</w:t>
            </w:r>
          </w:p>
        </w:tc>
        <w:tc>
          <w:tcPr>
            <w:tcW w:type="dxa" w:w="4824"/>
          </w:tcPr>
          <w:p>
            <w:r>
              <w:rPr>
                <w:sz w:val="17"/>
              </w:rPr>
              <w:t>Acceptance arising from the expiry of the Review Period without written rejection.</w:t>
            </w:r>
          </w:p>
        </w:tc>
      </w:tr>
      <w:tr>
        <w:tc>
          <w:tcPr>
            <w:tcW w:type="dxa" w:w="4824"/>
          </w:tcPr>
          <w:p>
            <w:r>
              <w:rPr>
                <w:sz w:val="17"/>
              </w:rPr>
              <w:t>Variation</w:t>
            </w:r>
          </w:p>
        </w:tc>
        <w:tc>
          <w:tcPr>
            <w:tcW w:type="dxa" w:w="4824"/>
          </w:tcPr>
          <w:p>
            <w:r>
              <w:rPr>
                <w:sz w:val="17"/>
              </w:rPr>
              <w:t>A written amendment to this SOW executed by both parties.</w:t>
            </w:r>
          </w:p>
        </w:tc>
      </w:tr>
      <w:tr>
        <w:tc>
          <w:tcPr>
            <w:tcW w:type="dxa" w:w="4824"/>
          </w:tcPr>
          <w:p>
            <w:r>
              <w:rPr>
                <w:sz w:val="17"/>
              </w:rPr>
              <w:t>Client Data</w:t>
            </w:r>
          </w:p>
        </w:tc>
        <w:tc>
          <w:tcPr>
            <w:tcW w:type="dxa" w:w="4824"/>
          </w:tcPr>
          <w:p>
            <w:r>
              <w:rPr>
                <w:sz w:val="17"/>
              </w:rPr>
              <w:t>All data supplied by the Client or generated on its behalf, including member, claims, provider and eligibility records. Client Data remains the Client's property at all times.</w:t>
            </w:r>
          </w:p>
        </w:tc>
      </w:tr>
      <w:tr>
        <w:tc>
          <w:tcPr>
            <w:tcW w:type="dxa" w:w="4824"/>
          </w:tcPr>
          <w:p>
            <w:r>
              <w:rPr>
                <w:sz w:val="17"/>
              </w:rPr>
              <w:t>Test Cycle</w:t>
            </w:r>
          </w:p>
        </w:tc>
        <w:tc>
          <w:tcPr>
            <w:tcW w:type="dxa" w:w="4824"/>
          </w:tcPr>
          <w:p>
            <w:r>
              <w:rPr>
                <w:sz w:val="17"/>
              </w:rPr>
              <w:t>A planned run of a defined set of test cases against a specified build, opened and closed by the Client.</w:t>
            </w:r>
          </w:p>
        </w:tc>
      </w:tr>
      <w:tr>
        <w:tc>
          <w:tcPr>
            <w:tcW w:type="dxa" w:w="4824"/>
          </w:tcPr>
          <w:p>
            <w:r>
              <w:rPr>
                <w:sz w:val="17"/>
              </w:rPr>
              <w:t>Blocked</w:t>
            </w:r>
          </w:p>
        </w:tc>
        <w:tc>
          <w:tcPr>
            <w:tcW w:type="dxa" w:w="4824"/>
          </w:tcPr>
          <w:p>
            <w:r>
              <w:rPr>
                <w:sz w:val="17"/>
              </w:rPr>
              <w:t>A case that cannot be executed for a reason outside the Vendor's control. Blocked cases are reported daily and are not counted as failures.</w:t>
            </w:r>
          </w:p>
        </w:tc>
      </w:tr>
    </w:tbl>
    <w:p/>
    <w:p>
      <w:pPr>
        <w:spacing w:before="200"/>
      </w:pPr>
      <w:r>
        <w:rPr>
          <w:b/>
          <w:color w:val="2B5F8E"/>
          <w:sz w:val="23"/>
        </w:rPr>
        <w:t>11 · Governing Agreement</w:t>
      </w:r>
    </w:p>
    <w:p>
      <w:r>
        <w:t>This Statement of Work is issued under the Master Services Agreement between the parties and creates no rights independent of it. Warranty, limitation of liability, intellectual property, confidentiality, data protection, insurance, termination and dispute resolution are governed by the MSA and are not restated here. Restating them invites the two documents to disagree, and a Statement of Work that contradicts its own master agreement is worse than one that is silent.</w:t>
      </w:r>
    </w:p>
    <w:p>
      <w:r>
        <w:t>Where the Vendor handles protected health information, the parties' Business Associate Agreement governs and prevails over both this SOW and the MSA to the extent of any conflict. On any other matter the order is: the BAA, the MSA, this SOW, then an executed variation, which prevails over this SOW only on the matter it changes. The Vendor's standard terms — in a portal click-through, an invoice footer or an order acknowledgement — are excluded.</w:t>
      </w:r>
    </w:p>
    <w:p>
      <w:pPr>
        <w:spacing w:before="200"/>
      </w:pPr>
      <w:r>
        <w:rPr>
          <w:b/>
          <w:color w:val="2B5F8E"/>
          <w:sz w:val="23"/>
        </w:rPr>
        <w:t>12 · Execution</w:t>
      </w:r>
    </w:p>
    <w:p>
      <w:r>
        <w:t>Executed following the approval convention this suite uses in SOW-001: the Vendor / Procurement Manager signs for the Client, the Vendor signs through its own authorized representative, and the internal approvals below are recorded separately. ⚠ The Program Manager approves but does not sign — program authority is not signing authority, and the separation is deliberate.</w:t>
      </w:r>
    </w:p>
    <w:p>
      <w:r>
        <w:t>⚠ The Vendor is deliberately unnamed throughout this suite, so the vendor signature line carries a role rather than a person. That is the convention, not an omission — and an unexecuted Statement of Work does show a blank signature line on both sides. The Client side names individuals because they are the program's own people, who appear by name across the rest of the suite.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Signing</w:t>
            </w:r>
          </w:p>
        </w:tc>
        <w:tc>
          <w:tcPr>
            <w:tcW w:type="dxa" w:w="3216"/>
          </w:tcPr>
          <w:p>
            <w:r>
              <w:rPr>
                <w:b/>
                <w:sz w:val="17"/>
              </w:rPr>
              <w:t>Name</w:t>
            </w:r>
          </w:p>
        </w:tc>
        <w:tc>
          <w:tcPr>
            <w:tcW w:type="dxa" w:w="3216"/>
          </w:tcPr>
          <w:p>
            <w:r>
              <w:rPr>
                <w:b/>
                <w:sz w:val="17"/>
              </w:rPr>
              <w:t>Date</w:t>
            </w:r>
          </w:p>
        </w:tc>
      </w:tr>
      <w:tr>
        <w:tc>
          <w:tcPr>
            <w:tcW w:type="dxa" w:w="3216"/>
          </w:tcPr>
          <w:p>
            <w:r>
              <w:rPr>
                <w:sz w:val="17"/>
              </w:rPr>
              <w:t>For the Client</w:t>
            </w:r>
          </w:p>
        </w:tc>
        <w:tc>
          <w:tcPr>
            <w:tcW w:type="dxa" w:w="3216"/>
          </w:tcPr>
          <w:p>
            <w:r>
              <w:rPr>
                <w:sz w:val="17"/>
              </w:rPr>
              <w:t>W. Donnelly, Vendor / Procurement Manager</w:t>
            </w:r>
          </w:p>
        </w:tc>
        <w:tc>
          <w:tcPr>
            <w:tcW w:type="dxa" w:w="3216"/>
          </w:tcPr>
          <w:p>
            <w:r>
              <w:rPr>
                <w:sz w:val="17"/>
              </w:rPr>
            </w:r>
          </w:p>
        </w:tc>
      </w:tr>
      <w:tr>
        <w:tc>
          <w:tcPr>
            <w:tcW w:type="dxa" w:w="3216"/>
          </w:tcPr>
          <w:p>
            <w:r>
              <w:rPr>
                <w:sz w:val="17"/>
              </w:rPr>
              <w:t>For the Vendor</w:t>
            </w:r>
          </w:p>
        </w:tc>
        <w:tc>
          <w:tcPr>
            <w:tcW w:type="dxa" w:w="3216"/>
          </w:tcPr>
          <w:p>
            <w:r>
              <w:rPr>
                <w:sz w:val="17"/>
              </w:rPr>
              <w:t>Authorized Representative</w:t>
            </w:r>
          </w:p>
        </w:tc>
        <w:tc>
          <w:tcPr>
            <w:tcW w:type="dxa" w:w="3216"/>
          </w:tcPr>
          <w:p>
            <w:r>
              <w:rPr>
                <w:sz w:val="17"/>
              </w:rPr>
            </w:r>
          </w:p>
        </w:tc>
      </w:tr>
    </w:tbl>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Client internal approval</w:t>
            </w:r>
          </w:p>
        </w:tc>
        <w:tc>
          <w:tcPr>
            <w:tcW w:type="dxa" w:w="3216"/>
          </w:tcPr>
          <w:p>
            <w:r>
              <w:rPr>
                <w:b/>
                <w:sz w:val="17"/>
              </w:rPr>
              <w:t>Name</w:t>
            </w:r>
          </w:p>
        </w:tc>
        <w:tc>
          <w:tcPr>
            <w:tcW w:type="dxa" w:w="3216"/>
          </w:tcPr>
          <w:p>
            <w:r>
              <w:rPr>
                <w:b/>
                <w:sz w:val="17"/>
              </w:rPr>
              <w:t>Basis</w:t>
            </w:r>
          </w:p>
        </w:tc>
      </w:tr>
      <w:tr>
        <w:tc>
          <w:tcPr>
            <w:tcW w:type="dxa" w:w="3216"/>
          </w:tcPr>
          <w:p>
            <w:r>
              <w:rPr>
                <w:sz w:val="17"/>
              </w:rPr>
              <w:t>Program Manager</w:t>
            </w:r>
          </w:p>
        </w:tc>
        <w:tc>
          <w:tcPr>
            <w:tcW w:type="dxa" w:w="3216"/>
          </w:tcPr>
          <w:p>
            <w:r>
              <w:rPr>
                <w:sz w:val="17"/>
              </w:rPr>
              <w:t>C. Tyrrell</w:t>
            </w:r>
          </w:p>
        </w:tc>
        <w:tc>
          <w:tcPr>
            <w:tcW w:type="dxa" w:w="3216"/>
          </w:tcPr>
          <w:p>
            <w:r>
              <w:rPr>
                <w:sz w:val="17"/>
              </w:rPr>
              <w:t>Scope, schedule and budget alignment</w:t>
            </w:r>
          </w:p>
        </w:tc>
      </w:tr>
      <w:tr>
        <w:tc>
          <w:tcPr>
            <w:tcW w:type="dxa" w:w="3216"/>
          </w:tcPr>
          <w:p>
            <w:r>
              <w:rPr>
                <w:sz w:val="17"/>
              </w:rPr>
              <w:t>Solution Architect</w:t>
            </w:r>
          </w:p>
        </w:tc>
        <w:tc>
          <w:tcPr>
            <w:tcW w:type="dxa" w:w="3216"/>
          </w:tcPr>
          <w:p>
            <w:r>
              <w:rPr>
                <w:sz w:val="17"/>
              </w:rPr>
              <w:t>J. Albert</w:t>
            </w:r>
          </w:p>
        </w:tc>
        <w:tc>
          <w:tcPr>
            <w:tcW w:type="dxa" w:w="3216"/>
          </w:tcPr>
          <w:p>
            <w:r>
              <w:rPr>
                <w:sz w:val="17"/>
              </w:rPr>
              <w:t>Technical scope and acceptance criteria</w:t>
            </w:r>
          </w:p>
        </w:tc>
      </w:tr>
      <w:tr>
        <w:tc>
          <w:tcPr>
            <w:tcW w:type="dxa" w:w="3216"/>
          </w:tcPr>
          <w:p>
            <w:r>
              <w:rPr>
                <w:sz w:val="17"/>
              </w:rPr>
              <w:t>Internal Audit / SOX</w:t>
            </w:r>
          </w:p>
        </w:tc>
        <w:tc>
          <w:tcPr>
            <w:tcW w:type="dxa" w:w="3216"/>
          </w:tcPr>
          <w:p>
            <w:r>
              <w:rPr>
                <w:sz w:val="17"/>
              </w:rPr>
              <w:t>G. Fenwick</w:t>
            </w:r>
          </w:p>
        </w:tc>
        <w:tc>
          <w:tcPr>
            <w:tcW w:type="dxa" w:w="3216"/>
          </w:tcPr>
          <w:p>
            <w:r>
              <w:rPr>
                <w:sz w:val="17"/>
              </w:rPr>
              <w:t>Control implications of vendor access</w:t>
            </w:r>
          </w:p>
        </w:tc>
      </w:tr>
      <w:tr>
        <w:tc>
          <w:tcPr>
            <w:tcW w:type="dxa" w:w="3216"/>
          </w:tcPr>
          <w:p>
            <w:r>
              <w:rPr>
                <w:sz w:val="17"/>
              </w:rPr>
              <w:t>Executive Sponsor</w:t>
            </w:r>
          </w:p>
        </w:tc>
        <w:tc>
          <w:tcPr>
            <w:tcW w:type="dxa" w:w="3216"/>
          </w:tcPr>
          <w:p>
            <w:r>
              <w:rPr>
                <w:sz w:val="17"/>
              </w:rPr>
              <w:t>G. Whitfield</w:t>
            </w:r>
          </w:p>
        </w:tc>
        <w:tc>
          <w:tcPr>
            <w:tcW w:type="dxa" w:w="3216"/>
          </w:tcPr>
          <w:p>
            <w:r>
              <w:rPr>
                <w:sz w:val="17"/>
              </w:rPr>
              <w:t>Commercial commitment</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